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AA345" w14:textId="77777777" w:rsidR="00562FB4" w:rsidRDefault="00562FB4" w:rsidP="00562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7919328"/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наказу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23.03.2023 р. №244</w:t>
      </w:r>
    </w:p>
    <w:tbl>
      <w:tblPr>
        <w:tblStyle w:val="a5"/>
        <w:tblW w:w="9889" w:type="dxa"/>
        <w:tblInd w:w="-433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911"/>
      </w:tblGrid>
      <w:tr w:rsidR="00292997" w14:paraId="259E3EAF" w14:textId="77777777">
        <w:tc>
          <w:tcPr>
            <w:tcW w:w="2978" w:type="dxa"/>
            <w:vMerge w:val="restart"/>
          </w:tcPr>
          <w:bookmarkEnd w:id="0"/>
          <w:p w14:paraId="7B986FA2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DD678A3" wp14:editId="77DEBD09">
                  <wp:extent cx="998220" cy="102108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t="14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21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21FFA5BF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14:paraId="678648A8" w14:textId="225F3301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E0CFE" w:rsidRPr="002E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Поліморбідна</w:t>
            </w:r>
            <w:proofErr w:type="spellEnd"/>
            <w:r w:rsidR="002E0CFE" w:rsidRPr="002E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внутрішня патологія тварин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2997" w14:paraId="2545CE9E" w14:textId="77777777">
        <w:tc>
          <w:tcPr>
            <w:tcW w:w="2978" w:type="dxa"/>
            <w:vMerge/>
          </w:tcPr>
          <w:p w14:paraId="42D77765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0C43E4" w14:textId="77777777" w:rsidR="00292997" w:rsidRDefault="0029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9578BD" w14:textId="14E5AB0D" w:rsidR="00292997" w:rsidRDefault="00983766" w:rsidP="005C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C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="005C70E7" w:rsidRPr="005C7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октор</w:t>
            </w:r>
            <w:proofErr w:type="spellEnd"/>
            <w:r w:rsidR="005C70E7" w:rsidRPr="005C7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70E7" w:rsidRPr="005C7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філософії</w:t>
            </w:r>
            <w:proofErr w:type="spellEnd"/>
          </w:p>
        </w:tc>
      </w:tr>
      <w:tr w:rsidR="00292997" w14:paraId="21593142" w14:textId="77777777">
        <w:tc>
          <w:tcPr>
            <w:tcW w:w="2978" w:type="dxa"/>
            <w:vMerge/>
          </w:tcPr>
          <w:p w14:paraId="021442DE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5E55EC5A" w14:textId="77777777" w:rsidR="00292997" w:rsidRDefault="0029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997" w14:paraId="75008099" w14:textId="77777777">
        <w:tc>
          <w:tcPr>
            <w:tcW w:w="2978" w:type="dxa"/>
            <w:vMerge/>
          </w:tcPr>
          <w:p w14:paraId="75C3856B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8E24EE8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481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3"/>
            </w:tblGrid>
            <w:tr w:rsidR="00292997" w14:paraId="30446AD3" w14:textId="77777777">
              <w:trPr>
                <w:trHeight w:val="108"/>
              </w:trPr>
              <w:tc>
                <w:tcPr>
                  <w:tcW w:w="4813" w:type="dxa"/>
                </w:tcPr>
                <w:p w14:paraId="4CFA0FFE" w14:textId="77777777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211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Ветеринарна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медицина </w:t>
                  </w:r>
                </w:p>
              </w:tc>
            </w:tr>
            <w:tr w:rsidR="00292997" w14:paraId="1238C3A3" w14:textId="77777777">
              <w:trPr>
                <w:trHeight w:val="108"/>
              </w:trPr>
              <w:tc>
                <w:tcPr>
                  <w:tcW w:w="4813" w:type="dxa"/>
                </w:tcPr>
                <w:p w14:paraId="4BC2FB8A" w14:textId="77777777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Освітня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програма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Ветеринарна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медицина» </w:t>
                  </w:r>
                </w:p>
              </w:tc>
            </w:tr>
            <w:tr w:rsidR="00292997" w14:paraId="28D748BC" w14:textId="77777777">
              <w:trPr>
                <w:trHeight w:val="249"/>
              </w:trPr>
              <w:tc>
                <w:tcPr>
                  <w:tcW w:w="4813" w:type="dxa"/>
                </w:tcPr>
                <w:p w14:paraId="26B60A46" w14:textId="21BD0F14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Рік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навчання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_</w:t>
                  </w:r>
                  <w:r w:rsidR="003661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u w:val="single"/>
                      <w:lang w:val="uk-U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_, семестр _</w:t>
                  </w:r>
                  <w:r w:rsidR="003661AA" w:rsidRPr="003661A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u w:val="single"/>
                      <w:lang w:val="uk-U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_ </w:t>
                  </w:r>
                </w:p>
                <w:p w14:paraId="30B4F2E7" w14:textId="77777777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Форма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навчання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денна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_ </w:t>
                  </w:r>
                </w:p>
              </w:tc>
            </w:tr>
            <w:tr w:rsidR="00292997" w14:paraId="43FC60B6" w14:textId="77777777">
              <w:trPr>
                <w:trHeight w:val="109"/>
              </w:trPr>
              <w:tc>
                <w:tcPr>
                  <w:tcW w:w="4813" w:type="dxa"/>
                </w:tcPr>
                <w:p w14:paraId="660E0C57" w14:textId="68E3B939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Кількість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кредитів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ЄКТС _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u w:val="single"/>
                    </w:rPr>
                    <w:t>2</w:t>
                  </w:r>
                  <w:r w:rsidR="00B324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u w:val="single"/>
                    </w:rPr>
                    <w:t>,</w:t>
                  </w:r>
                  <w:r w:rsidR="00B324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u w:val="single"/>
                      <w:lang w:val="en-US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_ </w:t>
                  </w:r>
                </w:p>
              </w:tc>
            </w:tr>
            <w:tr w:rsidR="00292997" w14:paraId="43E72ED6" w14:textId="77777777">
              <w:trPr>
                <w:trHeight w:val="109"/>
              </w:trPr>
              <w:tc>
                <w:tcPr>
                  <w:tcW w:w="4813" w:type="dxa"/>
                </w:tcPr>
                <w:p w14:paraId="441710AA" w14:textId="77777777" w:rsidR="00292997" w:rsidRDefault="009837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викладання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українська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6FCA2DC" w14:textId="77777777" w:rsidR="00292997" w:rsidRDefault="00292997"/>
        </w:tc>
      </w:tr>
      <w:tr w:rsidR="00292997" w14:paraId="6F6B395B" w14:textId="77777777">
        <w:tc>
          <w:tcPr>
            <w:tcW w:w="2978" w:type="dxa"/>
            <w:vMerge/>
          </w:tcPr>
          <w:p w14:paraId="2F527401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911" w:type="dxa"/>
          </w:tcPr>
          <w:p w14:paraId="09391F1C" w14:textId="77777777" w:rsidR="00292997" w:rsidRDefault="0029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997" w14:paraId="63557401" w14:textId="77777777">
        <w:tc>
          <w:tcPr>
            <w:tcW w:w="2978" w:type="dxa"/>
          </w:tcPr>
          <w:p w14:paraId="7F843D22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6911" w:type="dxa"/>
          </w:tcPr>
          <w:p w14:paraId="0F2A42E8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Шарандак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П.В.</w:t>
            </w:r>
          </w:p>
        </w:tc>
      </w:tr>
      <w:tr w:rsidR="00292997" w14:paraId="29F4794D" w14:textId="77777777">
        <w:tc>
          <w:tcPr>
            <w:tcW w:w="2978" w:type="dxa"/>
          </w:tcPr>
          <w:p w14:paraId="60502D44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лектора (e-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7EE580E9" w14:textId="77777777" w:rsidR="00292997" w:rsidRDefault="0029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8F6A79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psv_ua@ukr.net</w:t>
            </w:r>
          </w:p>
        </w:tc>
      </w:tr>
      <w:tr w:rsidR="00292997" w14:paraId="71599C1A" w14:textId="77777777">
        <w:tc>
          <w:tcPr>
            <w:tcW w:w="2978" w:type="dxa"/>
            <w:tcBorders>
              <w:bottom w:val="single" w:sz="4" w:space="0" w:color="000000"/>
            </w:tcBorders>
          </w:tcPr>
          <w:p w14:paraId="22DE548B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Сторінка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465E1C9B" w14:textId="77777777" w:rsidR="00292997" w:rsidRDefault="0029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7C446C" w14:textId="211044D9" w:rsidR="00292997" w:rsidRDefault="0029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68C7B" w14:textId="77777777" w:rsidR="00292997" w:rsidRDefault="00292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8080C" w14:textId="77777777" w:rsidR="00292997" w:rsidRDefault="009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ОПИС ДИСЦИПЛІНИ</w:t>
      </w:r>
    </w:p>
    <w:p w14:paraId="3829AB7F" w14:textId="77777777" w:rsidR="00292997" w:rsidRDefault="009837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(до 1000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друкованих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знаків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31A4F9C9" w14:textId="77777777" w:rsidR="00292997" w:rsidRDefault="00292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F54E9" w14:textId="0DA34458" w:rsidR="00292997" w:rsidRDefault="00B324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5D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метою дисципліни «</w:t>
      </w:r>
      <w:proofErr w:type="spellStart"/>
      <w:r w:rsidRPr="00B3245D">
        <w:rPr>
          <w:rFonts w:ascii="Times New Roman" w:eastAsia="Times New Roman" w:hAnsi="Times New Roman" w:cs="Times New Roman"/>
          <w:sz w:val="28"/>
          <w:szCs w:val="28"/>
          <w:lang w:val="uk-UA"/>
        </w:rPr>
        <w:t>Поліморбідна</w:t>
      </w:r>
      <w:proofErr w:type="spellEnd"/>
      <w:r w:rsidRPr="00B324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внутрішня патологія тварин» є удосконалення та поглиблення теоретичних знань і практичних навичок із розпізнавання внутрішніх </w:t>
      </w:r>
      <w:proofErr w:type="spellStart"/>
      <w:r w:rsidRPr="00B3245D">
        <w:rPr>
          <w:rFonts w:ascii="Times New Roman" w:eastAsia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B324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тварин, вивчення етіології, патогенезу, симптомів, перебігу, прогнозу, організації лікувальних заходів залежно від конкретних умов утримання та годівлі тварин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8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392DA8" w14:textId="77777777" w:rsidR="00F17C28" w:rsidRDefault="00F17C28" w:rsidP="00F17C28">
      <w:pPr>
        <w:pStyle w:val="docdata"/>
        <w:tabs>
          <w:tab w:val="left" w:pos="284"/>
          <w:tab w:val="left" w:pos="567"/>
        </w:tabs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  <w:u w:val="single"/>
        </w:rPr>
        <w:t xml:space="preserve">Набуття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компетентностей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: </w:t>
      </w:r>
    </w:p>
    <w:p w14:paraId="00997D06" w14:textId="77777777" w:rsidR="00F17C28" w:rsidRDefault="00F17C28" w:rsidP="00F17C28">
      <w:pPr>
        <w:pStyle w:val="af0"/>
        <w:tabs>
          <w:tab w:val="left" w:pos="284"/>
          <w:tab w:val="left" w:pos="567"/>
        </w:tabs>
        <w:spacing w:before="0" w:beforeAutospacing="0" w:after="0" w:afterAutospacing="0"/>
        <w:ind w:left="284" w:hanging="284"/>
        <w:jc w:val="both"/>
      </w:pPr>
      <w:r>
        <w:rPr>
          <w:b/>
          <w:bCs/>
          <w:i/>
          <w:iCs/>
          <w:color w:val="000000"/>
          <w:sz w:val="28"/>
          <w:szCs w:val="28"/>
        </w:rPr>
        <w:t>інтегральна компетентність (ІК):</w:t>
      </w:r>
      <w:r>
        <w:rPr>
          <w:color w:val="000000"/>
          <w:sz w:val="28"/>
          <w:szCs w:val="28"/>
        </w:rPr>
        <w:t xml:space="preserve"> 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</w:r>
    </w:p>
    <w:p w14:paraId="1B5DED61" w14:textId="77777777" w:rsidR="00F17C28" w:rsidRDefault="00F17C28" w:rsidP="00F17C28">
      <w:pPr>
        <w:pStyle w:val="af0"/>
        <w:tabs>
          <w:tab w:val="left" w:pos="284"/>
          <w:tab w:val="left" w:pos="567"/>
        </w:tabs>
        <w:spacing w:before="0" w:beforeAutospacing="0" w:after="0" w:afterAutospacing="0"/>
        <w:ind w:left="284" w:hanging="284"/>
        <w:jc w:val="both"/>
      </w:pPr>
      <w:r>
        <w:t> </w:t>
      </w:r>
    </w:p>
    <w:p w14:paraId="7D685D6E" w14:textId="77777777" w:rsidR="00F17C28" w:rsidRDefault="00F17C28" w:rsidP="00F17C28">
      <w:pPr>
        <w:pStyle w:val="af0"/>
        <w:tabs>
          <w:tab w:val="left" w:pos="284"/>
          <w:tab w:val="left" w:pos="567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загальні компетентності (ЗК):</w:t>
      </w:r>
    </w:p>
    <w:p w14:paraId="27D53D56" w14:textId="77777777" w:rsidR="00F17C28" w:rsidRDefault="00F17C28" w:rsidP="00F17C28">
      <w:pPr>
        <w:pStyle w:val="af0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3" w:afterAutospacing="0" w:line="247" w:lineRule="auto"/>
        <w:ind w:left="1287"/>
        <w:jc w:val="both"/>
      </w:pPr>
      <w:r>
        <w:rPr>
          <w:color w:val="000000"/>
          <w:sz w:val="28"/>
          <w:szCs w:val="28"/>
        </w:rPr>
        <w:t xml:space="preserve">Здатність проведення досліджень на відповідному рівні. </w:t>
      </w:r>
    </w:p>
    <w:p w14:paraId="3A9ECB8F" w14:textId="77777777" w:rsidR="00F17C28" w:rsidRDefault="00F17C28" w:rsidP="00F17C28">
      <w:pPr>
        <w:pStyle w:val="af0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3" w:afterAutospacing="0" w:line="247" w:lineRule="auto"/>
        <w:ind w:left="1287"/>
        <w:jc w:val="both"/>
      </w:pPr>
      <w:r>
        <w:rPr>
          <w:color w:val="000000"/>
          <w:sz w:val="28"/>
          <w:szCs w:val="28"/>
        </w:rPr>
        <w:t>Здатність приймати обґрунтовані рішення.</w:t>
      </w:r>
    </w:p>
    <w:p w14:paraId="78F3F314" w14:textId="77777777" w:rsidR="00F17C28" w:rsidRDefault="00F17C28" w:rsidP="00F17C28">
      <w:pPr>
        <w:pStyle w:val="af0"/>
        <w:tabs>
          <w:tab w:val="left" w:pos="284"/>
          <w:tab w:val="left" w:pos="567"/>
        </w:tabs>
        <w:spacing w:before="0" w:beforeAutospacing="0" w:after="3" w:afterAutospacing="0" w:line="247" w:lineRule="auto"/>
        <w:ind w:left="567"/>
        <w:jc w:val="both"/>
      </w:pPr>
      <w:r>
        <w:t> </w:t>
      </w:r>
    </w:p>
    <w:p w14:paraId="41C14711" w14:textId="77777777" w:rsidR="00F17C28" w:rsidRDefault="00F17C28" w:rsidP="00F17C28">
      <w:pPr>
        <w:pStyle w:val="af0"/>
        <w:tabs>
          <w:tab w:val="left" w:pos="284"/>
          <w:tab w:val="left" w:pos="567"/>
        </w:tabs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фахові (спеціальні) компетентності (ФК):</w:t>
      </w:r>
    </w:p>
    <w:p w14:paraId="2ED03A4F" w14:textId="77777777" w:rsidR="00F17C28" w:rsidRDefault="00F17C28" w:rsidP="00F17C28">
      <w:pPr>
        <w:pStyle w:val="af0"/>
        <w:numPr>
          <w:ilvl w:val="0"/>
          <w:numId w:val="2"/>
        </w:numPr>
        <w:tabs>
          <w:tab w:val="left" w:pos="284"/>
          <w:tab w:val="left" w:pos="567"/>
        </w:tabs>
        <w:spacing w:before="0" w:beforeAutospacing="0" w:after="3" w:afterAutospacing="0" w:line="247" w:lineRule="auto"/>
        <w:ind w:left="1287"/>
        <w:jc w:val="both"/>
      </w:pPr>
      <w:r>
        <w:rPr>
          <w:color w:val="000000"/>
          <w:sz w:val="28"/>
          <w:szCs w:val="28"/>
        </w:rPr>
        <w:t>Здатність планувати, організовувати та реалізовувати заходи з лікування тварин різних класів і видів, хворих на незаразні, інфекційні та інвазійні хвороби.</w:t>
      </w:r>
    </w:p>
    <w:p w14:paraId="0559A818" w14:textId="77777777" w:rsidR="00F17C28" w:rsidRDefault="00F17C28" w:rsidP="00F17C28">
      <w:pPr>
        <w:pStyle w:val="af0"/>
        <w:numPr>
          <w:ilvl w:val="0"/>
          <w:numId w:val="2"/>
        </w:numPr>
        <w:tabs>
          <w:tab w:val="left" w:pos="284"/>
          <w:tab w:val="left" w:pos="567"/>
        </w:tabs>
        <w:spacing w:before="0" w:beforeAutospacing="0" w:after="3" w:afterAutospacing="0" w:line="247" w:lineRule="auto"/>
        <w:ind w:left="1287"/>
        <w:jc w:val="both"/>
      </w:pPr>
      <w:r>
        <w:rPr>
          <w:color w:val="000000"/>
          <w:sz w:val="28"/>
          <w:szCs w:val="28"/>
        </w:rPr>
        <w:t>Здатність розробляти стратегії профілактики хвороб різної етіології.</w:t>
      </w:r>
    </w:p>
    <w:p w14:paraId="5B924775" w14:textId="77777777" w:rsidR="00F17C28" w:rsidRDefault="00F17C28" w:rsidP="00F17C28">
      <w:pPr>
        <w:pStyle w:val="af0"/>
        <w:spacing w:before="0" w:beforeAutospacing="0" w:after="3" w:afterAutospacing="0" w:line="247" w:lineRule="auto"/>
        <w:ind w:left="712" w:right="10"/>
        <w:jc w:val="both"/>
      </w:pPr>
      <w:r>
        <w:t> </w:t>
      </w:r>
    </w:p>
    <w:p w14:paraId="15CC29D3" w14:textId="77777777" w:rsidR="00F17C28" w:rsidRDefault="00F17C28" w:rsidP="00F17C28">
      <w:pPr>
        <w:pStyle w:val="af0"/>
        <w:spacing w:before="0" w:beforeAutospacing="0" w:after="3" w:afterAutospacing="0" w:line="247" w:lineRule="auto"/>
        <w:ind w:left="712" w:right="10"/>
        <w:jc w:val="both"/>
      </w:pPr>
      <w:r>
        <w:rPr>
          <w:b/>
          <w:bCs/>
          <w:i/>
          <w:iCs/>
          <w:color w:val="000000"/>
          <w:sz w:val="28"/>
          <w:szCs w:val="28"/>
        </w:rPr>
        <w:t>Програмні результати навчання (ПРН):</w:t>
      </w:r>
    </w:p>
    <w:p w14:paraId="546D40B8" w14:textId="77777777" w:rsidR="00F17C28" w:rsidRDefault="00F17C28" w:rsidP="00F17C28">
      <w:pPr>
        <w:pStyle w:val="af0"/>
        <w:numPr>
          <w:ilvl w:val="0"/>
          <w:numId w:val="3"/>
        </w:numPr>
        <w:spacing w:before="0" w:beforeAutospacing="0" w:after="3" w:afterAutospacing="0" w:line="247" w:lineRule="auto"/>
        <w:ind w:left="1287" w:right="10"/>
        <w:jc w:val="both"/>
      </w:pPr>
      <w:r>
        <w:rPr>
          <w:color w:val="000000"/>
          <w:sz w:val="28"/>
          <w:szCs w:val="28"/>
        </w:rPr>
        <w:t xml:space="preserve">Установлювати зв’язок між клінічними проявами захворювання та результатами лабораторних досліджень. </w:t>
      </w:r>
    </w:p>
    <w:p w14:paraId="7E58AE1A" w14:textId="77777777" w:rsidR="00F17C28" w:rsidRDefault="00F17C28" w:rsidP="00F17C28">
      <w:pPr>
        <w:pStyle w:val="af0"/>
        <w:numPr>
          <w:ilvl w:val="0"/>
          <w:numId w:val="3"/>
        </w:numPr>
        <w:spacing w:before="0" w:beforeAutospacing="0" w:after="3" w:afterAutospacing="0" w:line="247" w:lineRule="auto"/>
        <w:ind w:left="1287" w:right="10"/>
        <w:jc w:val="both"/>
      </w:pPr>
      <w:r>
        <w:rPr>
          <w:color w:val="000000"/>
          <w:sz w:val="28"/>
          <w:szCs w:val="28"/>
        </w:rPr>
        <w:lastRenderedPageBreak/>
        <w:t>Розробляти карантинні та оздоровчі заходи, методи терапії, профілактики, діагностики та лікування хвороб різної етіології.</w:t>
      </w:r>
    </w:p>
    <w:p w14:paraId="2B1C24CA" w14:textId="77777777" w:rsidR="00F17C28" w:rsidRDefault="00F17C28" w:rsidP="00F17C28">
      <w:pPr>
        <w:pStyle w:val="af0"/>
        <w:numPr>
          <w:ilvl w:val="0"/>
          <w:numId w:val="3"/>
        </w:numPr>
        <w:spacing w:before="0" w:beforeAutospacing="0" w:after="3" w:afterAutospacing="0" w:line="247" w:lineRule="auto"/>
        <w:ind w:left="1287" w:right="10"/>
        <w:jc w:val="both"/>
      </w:pPr>
      <w:r>
        <w:rPr>
          <w:color w:val="000000"/>
          <w:sz w:val="28"/>
          <w:szCs w:val="28"/>
        </w:rPr>
        <w:t>Здійснювати просвітницьку діяльність серед працівників галузі та населення.</w:t>
      </w:r>
    </w:p>
    <w:p w14:paraId="71BC3145" w14:textId="77777777" w:rsidR="00292997" w:rsidRPr="00F17C28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/>
        </w:rPr>
      </w:pPr>
    </w:p>
    <w:p w14:paraId="5BBB26BD" w14:textId="77777777" w:rsidR="00292997" w:rsidRDefault="009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СТРУКТУРА ДИЦИПЛІНИ</w:t>
      </w: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2040"/>
        <w:gridCol w:w="2248"/>
        <w:gridCol w:w="1783"/>
        <w:gridCol w:w="1754"/>
      </w:tblGrid>
      <w:tr w:rsidR="00292997" w14:paraId="7D00BC86" w14:textId="77777777">
        <w:tc>
          <w:tcPr>
            <w:tcW w:w="1746" w:type="dxa"/>
            <w:vAlign w:val="center"/>
          </w:tcPr>
          <w:p w14:paraId="35CA1879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0" w:type="dxa"/>
            <w:vAlign w:val="center"/>
          </w:tcPr>
          <w:p w14:paraId="25199E72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</w:p>
          <w:p w14:paraId="62E02FA3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семінарські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  <w:vAlign w:val="center"/>
          </w:tcPr>
          <w:p w14:paraId="4D907135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783" w:type="dxa"/>
            <w:vAlign w:val="center"/>
          </w:tcPr>
          <w:p w14:paraId="3953D4CC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754" w:type="dxa"/>
            <w:vAlign w:val="center"/>
          </w:tcPr>
          <w:p w14:paraId="60176814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</w:p>
        </w:tc>
      </w:tr>
      <w:tr w:rsidR="00292997" w14:paraId="55145E0E" w14:textId="77777777">
        <w:tc>
          <w:tcPr>
            <w:tcW w:w="9571" w:type="dxa"/>
            <w:gridSpan w:val="5"/>
          </w:tcPr>
          <w:p w14:paraId="204D6B26" w14:textId="6327069C" w:rsidR="00292997" w:rsidRDefault="00366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83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292997" w14:paraId="7D9DF38C" w14:textId="77777777">
        <w:tc>
          <w:tcPr>
            <w:tcW w:w="9571" w:type="dxa"/>
            <w:gridSpan w:val="5"/>
          </w:tcPr>
          <w:tbl>
            <w:tblPr>
              <w:tblStyle w:val="a8"/>
              <w:tblW w:w="9214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292997" w14:paraId="6ACE96C1" w14:textId="77777777">
              <w:trPr>
                <w:trHeight w:val="97"/>
              </w:trPr>
              <w:tc>
                <w:tcPr>
                  <w:tcW w:w="9214" w:type="dxa"/>
                </w:tcPr>
                <w:p w14:paraId="217D9BCC" w14:textId="77777777" w:rsidR="00292997" w:rsidRDefault="009837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Змістовий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 модуль № 1</w:t>
                  </w:r>
                </w:p>
              </w:tc>
            </w:tr>
          </w:tbl>
          <w:p w14:paraId="127A6C6B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997" w14:paraId="1D7CA843" w14:textId="77777777">
        <w:trPr>
          <w:trHeight w:val="3864"/>
        </w:trPr>
        <w:tc>
          <w:tcPr>
            <w:tcW w:w="1746" w:type="dxa"/>
          </w:tcPr>
          <w:tbl>
            <w:tblPr>
              <w:tblStyle w:val="a9"/>
              <w:tblW w:w="153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</w:tblGrid>
            <w:tr w:rsidR="00292997" w14:paraId="3E95501A" w14:textId="77777777">
              <w:trPr>
                <w:trHeight w:val="656"/>
              </w:trPr>
              <w:tc>
                <w:tcPr>
                  <w:tcW w:w="1530" w:type="dxa"/>
                </w:tcPr>
                <w:p w14:paraId="0D02C6E7" w14:textId="12C45F43" w:rsidR="00292997" w:rsidRDefault="009837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 xml:space="preserve">Тема 1. </w:t>
                  </w:r>
                  <w:proofErr w:type="spellStart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Поняття</w:t>
                  </w:r>
                  <w:proofErr w:type="spellEnd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про </w:t>
                  </w:r>
                  <w:proofErr w:type="spellStart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поєднану</w:t>
                  </w:r>
                  <w:proofErr w:type="spellEnd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внутрішню</w:t>
                  </w:r>
                  <w:proofErr w:type="spellEnd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патологію</w:t>
                  </w:r>
                  <w:proofErr w:type="spellEnd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тварин</w:t>
                  </w:r>
                  <w:proofErr w:type="spellEnd"/>
                  <w:r w:rsidR="00B3245D" w:rsidRPr="00B324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012EDA87" w14:textId="77777777" w:rsidR="00292997" w:rsidRDefault="00292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8221CA" w14:textId="2FF43502" w:rsidR="00292997" w:rsidRPr="00086231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83766" w:rsidRPr="00086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  <w:p w14:paraId="04573DCB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1EA5A0F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032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2"/>
            </w:tblGrid>
            <w:tr w:rsidR="00292997" w14:paraId="38D06E34" w14:textId="77777777">
              <w:trPr>
                <w:trHeight w:val="665"/>
              </w:trPr>
              <w:tc>
                <w:tcPr>
                  <w:tcW w:w="2032" w:type="dxa"/>
                </w:tcPr>
                <w:p w14:paraId="4C1ABCF9" w14:textId="202E714D" w:rsidR="00292997" w:rsidRDefault="00983766" w:rsidP="00B32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особливості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етіології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патогенезу,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симптомів</w:t>
                  </w:r>
                  <w:proofErr w:type="spellEnd"/>
                  <w:r w:rsidR="00B324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поєднаної внутрішньої патології у тварин-компаньйонів та </w:t>
                  </w:r>
                  <w:proofErr w:type="spellStart"/>
                  <w:r w:rsidR="00B324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сільськогоспо-дарських</w:t>
                  </w:r>
                  <w:proofErr w:type="spellEnd"/>
                  <w:r w:rsidR="00B324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тварин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2F20A140" w14:textId="77777777" w:rsidR="00292997" w:rsidRDefault="00292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1D6DE5B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56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7"/>
            </w:tblGrid>
            <w:tr w:rsidR="00292997" w14:paraId="35BD0F8B" w14:textId="77777777">
              <w:trPr>
                <w:trHeight w:val="661"/>
              </w:trPr>
              <w:tc>
                <w:tcPr>
                  <w:tcW w:w="1567" w:type="dxa"/>
                </w:tcPr>
                <w:p w14:paraId="7B1D152F" w14:textId="77777777" w:rsidR="00292997" w:rsidRDefault="009837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Здача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лабораторної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№ 1. </w:t>
                  </w:r>
                </w:p>
                <w:p w14:paraId="25C29AE5" w14:textId="77777777" w:rsidR="00292997" w:rsidRDefault="0098376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Виконання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самостійної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роботи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№ 1</w:t>
                  </w:r>
                </w:p>
              </w:tc>
            </w:tr>
          </w:tbl>
          <w:p w14:paraId="310A24DC" w14:textId="77777777" w:rsidR="00292997" w:rsidRDefault="002929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6D34CBD5" w14:textId="6DC622BE" w:rsidR="00292997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92997" w14:paraId="56F0E9C2" w14:textId="77777777">
        <w:tc>
          <w:tcPr>
            <w:tcW w:w="1746" w:type="dxa"/>
          </w:tcPr>
          <w:p w14:paraId="524FCBCF" w14:textId="6F6EBF88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Тема 2. </w:t>
            </w:r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Синдром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ураження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серця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і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печінки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5A4AAA40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724239" w14:textId="32C6E177" w:rsidR="00292997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83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2248" w:type="dxa"/>
          </w:tcPr>
          <w:p w14:paraId="236370E8" w14:textId="7215296F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хвороб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із поєднаною патологією серця і печінки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38EF32D9" w14:textId="6E708328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хворих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4B7E7C02" w14:textId="55DBDDB2" w:rsidR="00292997" w:rsidRDefault="00983766" w:rsidP="00B32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4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гепатокардіального</w:t>
            </w:r>
            <w:proofErr w:type="spellEnd"/>
            <w:r w:rsidR="00B324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синдрому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="00B324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4E683603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2. </w:t>
            </w:r>
          </w:p>
          <w:p w14:paraId="0EECF067" w14:textId="77777777" w:rsidR="00292997" w:rsidRDefault="00983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 2.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54" w:type="dxa"/>
          </w:tcPr>
          <w:p w14:paraId="32CF54B1" w14:textId="259D4A21" w:rsidR="00292997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3245D" w14:paraId="27B200DB" w14:textId="77777777">
        <w:tc>
          <w:tcPr>
            <w:tcW w:w="1746" w:type="dxa"/>
          </w:tcPr>
          <w:p w14:paraId="41854903" w14:textId="77777777" w:rsidR="00B3245D" w:rsidRDefault="00B3245D" w:rsidP="00B32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Тема 4. </w:t>
            </w:r>
            <w:proofErr w:type="spellStart"/>
            <w:r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Гепатонефральний</w:t>
            </w:r>
            <w:proofErr w:type="spellEnd"/>
            <w:r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синдром</w:t>
            </w:r>
          </w:p>
          <w:p w14:paraId="2AE346F1" w14:textId="77777777" w:rsidR="00B3245D" w:rsidRDefault="00B3245D" w:rsidP="00B32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6C254F82" w14:textId="38FABC12" w:rsidR="00B3245D" w:rsidRDefault="00B3245D" w:rsidP="00B32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248" w:type="dxa"/>
          </w:tcPr>
          <w:p w14:paraId="5CFEE9BA" w14:textId="77777777" w:rsidR="00B3245D" w:rsidRDefault="00B3245D" w:rsidP="00B32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гепатонефрального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синдрому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3A596C46" w14:textId="77777777" w:rsidR="00B3245D" w:rsidRDefault="00B3245D" w:rsidP="00B32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хвороб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гепатобіліарної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139B7BE5" w14:textId="77777777" w:rsidR="00B3245D" w:rsidRDefault="00B3245D" w:rsidP="00B32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</w:p>
          <w:p w14:paraId="2C573478" w14:textId="4EECB816" w:rsidR="00B3245D" w:rsidRDefault="00B3245D" w:rsidP="00B32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препарати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хвороби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3" w:type="dxa"/>
          </w:tcPr>
          <w:p w14:paraId="28849B2A" w14:textId="77777777" w:rsidR="00B3245D" w:rsidRDefault="00B3245D" w:rsidP="00B32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3. </w:t>
            </w:r>
          </w:p>
          <w:p w14:paraId="02415D3F" w14:textId="77777777" w:rsidR="00B3245D" w:rsidRDefault="00B3245D" w:rsidP="00B324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 3.</w:t>
            </w:r>
          </w:p>
        </w:tc>
        <w:tc>
          <w:tcPr>
            <w:tcW w:w="1754" w:type="dxa"/>
          </w:tcPr>
          <w:p w14:paraId="20A2FC33" w14:textId="788A386C" w:rsidR="00B3245D" w:rsidRDefault="00086231" w:rsidP="00B32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92997" w14:paraId="04B6F855" w14:textId="77777777">
        <w:tc>
          <w:tcPr>
            <w:tcW w:w="1746" w:type="dxa"/>
          </w:tcPr>
          <w:p w14:paraId="72D7913F" w14:textId="5391B4C1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 xml:space="preserve">Тема 4.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Кетоз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поєднана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патологія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рубця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печінки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серця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та </w:t>
            </w:r>
            <w:proofErr w:type="spellStart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нирок</w:t>
            </w:r>
            <w:proofErr w:type="spellEnd"/>
            <w:r w:rsidR="00B3245D" w:rsidRPr="00B324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52EC06DC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43D01231" w14:textId="47FBEB4B" w:rsidR="00292997" w:rsidRPr="00086231" w:rsidRDefault="00086231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983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48" w:type="dxa"/>
          </w:tcPr>
          <w:p w14:paraId="2056CDB3" w14:textId="124FBA1C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кетозу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3D1E1515" w14:textId="0E450DA5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кетозу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B32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461BA44A" w14:textId="77777777" w:rsidR="00292997" w:rsidRDefault="00983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</w:p>
          <w:p w14:paraId="2D7A86AC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препарати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хвороби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3" w:type="dxa"/>
          </w:tcPr>
          <w:p w14:paraId="508D3B84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4. </w:t>
            </w:r>
          </w:p>
          <w:p w14:paraId="55311849" w14:textId="77777777" w:rsidR="00292997" w:rsidRDefault="00983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 4.</w:t>
            </w:r>
          </w:p>
        </w:tc>
        <w:tc>
          <w:tcPr>
            <w:tcW w:w="1754" w:type="dxa"/>
          </w:tcPr>
          <w:p w14:paraId="577D807C" w14:textId="1F99D78E" w:rsidR="00292997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6231" w14:paraId="3C76D851" w14:textId="77777777" w:rsidTr="003223F3">
        <w:tc>
          <w:tcPr>
            <w:tcW w:w="7817" w:type="dxa"/>
            <w:gridSpan w:val="4"/>
          </w:tcPr>
          <w:p w14:paraId="39F4675E" w14:textId="33336628" w:rsidR="00086231" w:rsidRPr="00086231" w:rsidRDefault="0008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0862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Тестування</w:t>
            </w:r>
            <w:proofErr w:type="spellEnd"/>
            <w:r w:rsidRPr="000862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з модуля</w:t>
            </w:r>
          </w:p>
        </w:tc>
        <w:tc>
          <w:tcPr>
            <w:tcW w:w="1754" w:type="dxa"/>
          </w:tcPr>
          <w:p w14:paraId="702E54C4" w14:textId="28D0CBFC" w:rsidR="00086231" w:rsidRPr="00086231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86231" w14:paraId="01CD1F42" w14:textId="77777777" w:rsidTr="003223F3">
        <w:tc>
          <w:tcPr>
            <w:tcW w:w="7817" w:type="dxa"/>
            <w:gridSpan w:val="4"/>
          </w:tcPr>
          <w:p w14:paraId="18807CE2" w14:textId="43C59157" w:rsidR="00086231" w:rsidRPr="00086231" w:rsidRDefault="0008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uk-UA"/>
              </w:rPr>
              <w:t>Всього за 1 модуль</w:t>
            </w:r>
          </w:p>
        </w:tc>
        <w:tc>
          <w:tcPr>
            <w:tcW w:w="1754" w:type="dxa"/>
          </w:tcPr>
          <w:p w14:paraId="1443A2E6" w14:textId="335B80E8" w:rsidR="00086231" w:rsidRPr="00086231" w:rsidRDefault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6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292997" w14:paraId="535303AC" w14:textId="77777777">
        <w:tc>
          <w:tcPr>
            <w:tcW w:w="1746" w:type="dxa"/>
          </w:tcPr>
          <w:p w14:paraId="7A617BD7" w14:textId="72EF6900" w:rsidR="00292997" w:rsidRDefault="00983766" w:rsidP="0008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Тема 5. </w:t>
            </w:r>
            <w:proofErr w:type="spellStart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Полімікро</w:t>
            </w:r>
            <w:proofErr w:type="spellEnd"/>
            <w:r w:rsid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-</w:t>
            </w:r>
            <w:proofErr w:type="spellStart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елементози</w:t>
            </w:r>
            <w:proofErr w:type="spellEnd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0" w:type="dxa"/>
          </w:tcPr>
          <w:p w14:paraId="08D8D255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248" w:type="dxa"/>
          </w:tcPr>
          <w:p w14:paraId="0109B7A9" w14:textId="01061BD1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="00086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мікроелементозів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6CD78B62" w14:textId="6265DE5D" w:rsidR="00292997" w:rsidRDefault="00983766" w:rsidP="00086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240B2943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5. </w:t>
            </w:r>
          </w:p>
          <w:p w14:paraId="5B3ABBB1" w14:textId="77777777" w:rsidR="00292997" w:rsidRDefault="00983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 5.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54" w:type="dxa"/>
          </w:tcPr>
          <w:p w14:paraId="773F52A9" w14:textId="72A766C3" w:rsidR="00292997" w:rsidRPr="00086231" w:rsidRDefault="007B3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92997" w14:paraId="727228A0" w14:textId="77777777">
        <w:tc>
          <w:tcPr>
            <w:tcW w:w="1746" w:type="dxa"/>
          </w:tcPr>
          <w:p w14:paraId="32C0B514" w14:textId="47F8681F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Тема 6. </w:t>
            </w:r>
            <w:proofErr w:type="spellStart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Поєднана</w:t>
            </w:r>
            <w:proofErr w:type="spellEnd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патологія</w:t>
            </w:r>
            <w:proofErr w:type="spellEnd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 молодняку </w:t>
            </w:r>
            <w:proofErr w:type="spellStart"/>
            <w:r w:rsidR="00086231" w:rsidRPr="000862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40" w:type="dxa"/>
          </w:tcPr>
          <w:p w14:paraId="25EF80B5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248" w:type="dxa"/>
          </w:tcPr>
          <w:p w14:paraId="70295B52" w14:textId="1ABF371D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="00086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поєднаної патології </w:t>
            </w:r>
            <w:proofErr w:type="gramStart"/>
            <w:r w:rsidR="00086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молодняку</w:t>
            </w:r>
            <w:proofErr w:type="gramEnd"/>
            <w:r w:rsidR="00086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7DA14223" w14:textId="0CE79C0D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хвороб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молодняку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E73218A" w14:textId="77777777" w:rsidR="00292997" w:rsidRDefault="00983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11DA8978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6. </w:t>
            </w:r>
          </w:p>
          <w:p w14:paraId="07D88E60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DA9AD2" w14:textId="0997813D" w:rsidR="00292997" w:rsidRPr="00086231" w:rsidRDefault="007B3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292997" w14:paraId="2AAE5C3A" w14:textId="77777777">
        <w:tc>
          <w:tcPr>
            <w:tcW w:w="1746" w:type="dxa"/>
          </w:tcPr>
          <w:p w14:paraId="208D8720" w14:textId="31992E1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 xml:space="preserve">Тема 7. 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Ендокрино</w:t>
            </w:r>
            <w:proofErr w:type="spellEnd"/>
            <w:r w:rsid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-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патії</w:t>
            </w:r>
            <w:proofErr w:type="spellEnd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Цукровий</w:t>
            </w:r>
            <w:proofErr w:type="spellEnd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діабет</w:t>
            </w:r>
            <w:proofErr w:type="spellEnd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синдром 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Кушинга</w:t>
            </w:r>
            <w:proofErr w:type="spellEnd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B33FC" w:rsidRPr="007B33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гіпотиреоз</w:t>
            </w:r>
            <w:proofErr w:type="spellEnd"/>
          </w:p>
        </w:tc>
        <w:tc>
          <w:tcPr>
            <w:tcW w:w="2040" w:type="dxa"/>
          </w:tcPr>
          <w:p w14:paraId="708599FC" w14:textId="77777777" w:rsidR="00292997" w:rsidRDefault="00983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248" w:type="dxa"/>
          </w:tcPr>
          <w:p w14:paraId="50713DB3" w14:textId="2E0EB386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патогенезу,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симптомів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="007B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ендокринопатій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358DE43" w14:textId="5BC14F59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клініко-лабораторних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="007B3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ендокринопатій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235368D6" w14:textId="64B4424D" w:rsidR="00292997" w:rsidRDefault="00983766" w:rsidP="007B3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препарати</w:t>
            </w:r>
            <w:proofErr w:type="spellEnd"/>
            <w:r w:rsidR="007B33F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B33F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вдповідно</w:t>
            </w:r>
            <w:proofErr w:type="spellEnd"/>
            <w:r w:rsidR="007B33F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B33F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</w:tcPr>
          <w:p w14:paraId="51E9B1EF" w14:textId="77777777" w:rsidR="00292997" w:rsidRDefault="0098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лабораторної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№ 7. </w:t>
            </w:r>
          </w:p>
          <w:p w14:paraId="0D5BEFA6" w14:textId="77777777" w:rsidR="00292997" w:rsidRDefault="002929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1B057445" w14:textId="028FDA89" w:rsidR="00292997" w:rsidRPr="00086231" w:rsidRDefault="007B3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  <w:p w14:paraId="3B4A410D" w14:textId="77777777" w:rsidR="00292997" w:rsidRDefault="00292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231" w14:paraId="584839CD" w14:textId="77777777">
        <w:tc>
          <w:tcPr>
            <w:tcW w:w="1746" w:type="dxa"/>
          </w:tcPr>
          <w:p w14:paraId="7E14E200" w14:textId="5750ADFF" w:rsidR="00086231" w:rsidRDefault="00086231" w:rsidP="0008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2040" w:type="dxa"/>
          </w:tcPr>
          <w:p w14:paraId="022F1E67" w14:textId="1C0718D7" w:rsidR="00086231" w:rsidRDefault="00086231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656ADD" w14:textId="13A0D48E" w:rsidR="00086231" w:rsidRDefault="00086231" w:rsidP="00086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18FDDDB6" w14:textId="3A3B650F" w:rsidR="00086231" w:rsidRDefault="00086231" w:rsidP="00086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5E2F5121" w14:textId="54401A3C" w:rsidR="00086231" w:rsidRDefault="00086231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3FC" w14:paraId="57B7F7F6" w14:textId="77777777" w:rsidTr="001E1E7D">
        <w:tc>
          <w:tcPr>
            <w:tcW w:w="7817" w:type="dxa"/>
            <w:gridSpan w:val="4"/>
          </w:tcPr>
          <w:p w14:paraId="18470645" w14:textId="7F0E5331" w:rsidR="007B33FC" w:rsidRPr="007B33FC" w:rsidRDefault="007B33FC" w:rsidP="007B3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3FC">
              <w:rPr>
                <w:rFonts w:ascii="Times New Roman" w:hAnsi="Times New Roman" w:cs="Times New Roman"/>
              </w:rPr>
              <w:t>Тестування</w:t>
            </w:r>
            <w:proofErr w:type="spellEnd"/>
            <w:r w:rsidRPr="007B33FC">
              <w:rPr>
                <w:rFonts w:ascii="Times New Roman" w:hAnsi="Times New Roman" w:cs="Times New Roman"/>
              </w:rPr>
              <w:t xml:space="preserve"> з модуля</w:t>
            </w:r>
          </w:p>
        </w:tc>
        <w:tc>
          <w:tcPr>
            <w:tcW w:w="1754" w:type="dxa"/>
          </w:tcPr>
          <w:p w14:paraId="77C83C23" w14:textId="639A7EB4" w:rsidR="007B33FC" w:rsidRPr="007B33FC" w:rsidRDefault="007B33FC" w:rsidP="007B3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3FC">
              <w:rPr>
                <w:rFonts w:ascii="Times New Roman" w:hAnsi="Times New Roman" w:cs="Times New Roman"/>
              </w:rPr>
              <w:t>30</w:t>
            </w:r>
          </w:p>
        </w:tc>
      </w:tr>
      <w:tr w:rsidR="007B33FC" w14:paraId="6D980A60" w14:textId="77777777">
        <w:tc>
          <w:tcPr>
            <w:tcW w:w="7817" w:type="dxa"/>
            <w:gridSpan w:val="4"/>
          </w:tcPr>
          <w:p w14:paraId="65DE4D01" w14:textId="278E39F8" w:rsidR="007B33FC" w:rsidRPr="007B33FC" w:rsidRDefault="007B33FC" w:rsidP="007B33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3FC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7B33FC">
              <w:rPr>
                <w:rFonts w:ascii="Times New Roman" w:hAnsi="Times New Roman" w:cs="Times New Roman"/>
              </w:rPr>
              <w:t xml:space="preserve"> за 1 модуль</w:t>
            </w:r>
          </w:p>
        </w:tc>
        <w:tc>
          <w:tcPr>
            <w:tcW w:w="1754" w:type="dxa"/>
          </w:tcPr>
          <w:p w14:paraId="1C3D0FE8" w14:textId="7BF8583D" w:rsidR="007B33FC" w:rsidRPr="007B33FC" w:rsidRDefault="007B33FC" w:rsidP="007B3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3FC">
              <w:rPr>
                <w:rFonts w:ascii="Times New Roman" w:hAnsi="Times New Roman" w:cs="Times New Roman"/>
              </w:rPr>
              <w:t>100</w:t>
            </w:r>
          </w:p>
        </w:tc>
      </w:tr>
      <w:tr w:rsidR="007B33FC" w14:paraId="53BF8CB2" w14:textId="77777777">
        <w:tc>
          <w:tcPr>
            <w:tcW w:w="7817" w:type="dxa"/>
            <w:gridSpan w:val="4"/>
          </w:tcPr>
          <w:p w14:paraId="15D78343" w14:textId="47FBC04E" w:rsidR="007B33FC" w:rsidRPr="007B33FC" w:rsidRDefault="007B33FC" w:rsidP="00086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Навчальна робота</w:t>
            </w:r>
          </w:p>
        </w:tc>
        <w:tc>
          <w:tcPr>
            <w:tcW w:w="1754" w:type="dxa"/>
          </w:tcPr>
          <w:p w14:paraId="07D36468" w14:textId="399E499D" w:rsidR="007B33FC" w:rsidRPr="007B33FC" w:rsidRDefault="007B33FC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33FC">
              <w:rPr>
                <w:rFonts w:ascii="Times New Roman" w:eastAsia="Gungsuh" w:hAnsi="Times New Roman" w:cs="Times New Roman"/>
                <w:b/>
                <w:color w:val="000000"/>
              </w:rPr>
              <w:t>70 (≥42)</w:t>
            </w:r>
          </w:p>
        </w:tc>
      </w:tr>
      <w:tr w:rsidR="00086231" w14:paraId="2F3E9708" w14:textId="77777777">
        <w:tc>
          <w:tcPr>
            <w:tcW w:w="7817" w:type="dxa"/>
            <w:gridSpan w:val="4"/>
          </w:tcPr>
          <w:p w14:paraId="7CD2EF92" w14:textId="2089CFAC" w:rsidR="00086231" w:rsidRDefault="007B33FC" w:rsidP="00086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1754" w:type="dxa"/>
          </w:tcPr>
          <w:p w14:paraId="433DA70E" w14:textId="3C3AAB49" w:rsidR="00086231" w:rsidRDefault="007B33FC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086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6231" w14:paraId="44B1A693" w14:textId="77777777">
        <w:tc>
          <w:tcPr>
            <w:tcW w:w="7817" w:type="dxa"/>
            <w:gridSpan w:val="4"/>
          </w:tcPr>
          <w:p w14:paraId="0F34EAAC" w14:textId="77777777" w:rsidR="00086231" w:rsidRDefault="00086231" w:rsidP="000862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курс</w:t>
            </w:r>
          </w:p>
        </w:tc>
        <w:tc>
          <w:tcPr>
            <w:tcW w:w="1754" w:type="dxa"/>
          </w:tcPr>
          <w:p w14:paraId="7C1B7703" w14:textId="77777777" w:rsidR="00086231" w:rsidRDefault="00086231" w:rsidP="00086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E50323C" w14:textId="77777777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42A06" w14:textId="77777777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F654" w14:textId="77777777" w:rsidR="00292997" w:rsidRDefault="009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ПОЛІТИКА ОЦІНЮВАННЯ</w:t>
      </w:r>
    </w:p>
    <w:p w14:paraId="7EB2DFA9" w14:textId="77777777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tbl>
      <w:tblPr>
        <w:tblStyle w:val="ac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11"/>
      </w:tblGrid>
      <w:tr w:rsidR="00292997" w14:paraId="53C29A16" w14:textId="77777777">
        <w:tc>
          <w:tcPr>
            <w:tcW w:w="2660" w:type="dxa"/>
          </w:tcPr>
          <w:p w14:paraId="2F3B4CDC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перескладання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14:paraId="11004E25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лектора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лікарняний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292997" w14:paraId="22945A55" w14:textId="77777777">
        <w:tc>
          <w:tcPr>
            <w:tcW w:w="2660" w:type="dxa"/>
          </w:tcPr>
          <w:p w14:paraId="6B9E241E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14:paraId="2CDC82D8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заборонені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т.ч.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літературу</w:t>
            </w:r>
            <w:proofErr w:type="spellEnd"/>
          </w:p>
        </w:tc>
      </w:tr>
      <w:tr w:rsidR="00292997" w14:paraId="4819EE42" w14:textId="77777777">
        <w:tc>
          <w:tcPr>
            <w:tcW w:w="2660" w:type="dxa"/>
          </w:tcPr>
          <w:p w14:paraId="305A3BC2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14:paraId="10B342E4" w14:textId="77777777" w:rsidR="00292997" w:rsidRDefault="00983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хвороба,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відбуватись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деканом факультету)</w:t>
            </w:r>
          </w:p>
        </w:tc>
      </w:tr>
    </w:tbl>
    <w:p w14:paraId="25D6341E" w14:textId="77777777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A2A15" w14:textId="77777777" w:rsidR="00292997" w:rsidRDefault="0029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D3089" w14:textId="77777777" w:rsidR="00292997" w:rsidRDefault="0098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ШКАЛА ОЦІНЮВАННЯ ЗНАНЬ СТУДЕНТІВ</w:t>
      </w:r>
    </w:p>
    <w:p w14:paraId="7A4BC77D" w14:textId="77777777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</w:p>
    <w:tbl>
      <w:tblPr>
        <w:tblStyle w:val="ad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004"/>
        <w:gridCol w:w="3191"/>
      </w:tblGrid>
      <w:tr w:rsidR="00292997" w14:paraId="4BC2C825" w14:textId="77777777">
        <w:tc>
          <w:tcPr>
            <w:tcW w:w="2376" w:type="dxa"/>
            <w:vMerge w:val="restart"/>
          </w:tcPr>
          <w:p w14:paraId="483110CD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Рейтинг студента,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14:paraId="1D5E7532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92997" w14:paraId="44F9957D" w14:textId="77777777">
        <w:tc>
          <w:tcPr>
            <w:tcW w:w="2376" w:type="dxa"/>
            <w:vMerge/>
          </w:tcPr>
          <w:p w14:paraId="0A850A23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2CE29A43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14:paraId="0C44C300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92997" w14:paraId="21611D8B" w14:textId="77777777">
        <w:tc>
          <w:tcPr>
            <w:tcW w:w="2376" w:type="dxa"/>
          </w:tcPr>
          <w:p w14:paraId="35E8C8FB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E732697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14:paraId="629C4DCA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292997" w14:paraId="4393BF82" w14:textId="77777777">
        <w:tc>
          <w:tcPr>
            <w:tcW w:w="2376" w:type="dxa"/>
          </w:tcPr>
          <w:p w14:paraId="25B72B33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7F0104DC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5247B1C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997" w14:paraId="73C0AB49" w14:textId="77777777">
        <w:tc>
          <w:tcPr>
            <w:tcW w:w="2376" w:type="dxa"/>
          </w:tcPr>
          <w:p w14:paraId="1626AC01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64A16AAB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14:paraId="1F8606D4" w14:textId="77777777" w:rsidR="00292997" w:rsidRDefault="0029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997" w14:paraId="071B98F7" w14:textId="77777777">
        <w:tc>
          <w:tcPr>
            <w:tcW w:w="2376" w:type="dxa"/>
          </w:tcPr>
          <w:p w14:paraId="4177F92B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29EC4F5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14:paraId="0FF6B8C8" w14:textId="77777777" w:rsidR="00292997" w:rsidRDefault="0098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14:paraId="48C7FA12" w14:textId="5316D96C" w:rsidR="00292997" w:rsidRDefault="0029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9FF620" w14:textId="49B2070F" w:rsidR="00FF1FFE" w:rsidRDefault="00FF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8DE4C9" w14:textId="77777777" w:rsidR="00FF1FFE" w:rsidRPr="00FF1FFE" w:rsidRDefault="00FF1FFE" w:rsidP="00FF1FF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222A35"/>
          <w:sz w:val="24"/>
          <w:szCs w:val="24"/>
        </w:rPr>
      </w:pPr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 xml:space="preserve">Рекомендована </w:t>
      </w:r>
      <w:proofErr w:type="spellStart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література</w:t>
      </w:r>
      <w:proofErr w:type="spellEnd"/>
    </w:p>
    <w:p w14:paraId="678EA49F" w14:textId="77777777" w:rsidR="00FF1FFE" w:rsidRPr="00FF1FFE" w:rsidRDefault="00FF1FFE" w:rsidP="00FF1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Базова</w:t>
      </w:r>
      <w:proofErr w:type="spellEnd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 xml:space="preserve"> </w:t>
      </w:r>
      <w:proofErr w:type="spellStart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література</w:t>
      </w:r>
      <w:proofErr w:type="spellEnd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:</w:t>
      </w:r>
    </w:p>
    <w:p w14:paraId="4DC5B7B2" w14:textId="77777777" w:rsidR="00FF1FFE" w:rsidRPr="00FF1FFE" w:rsidRDefault="00FF1FFE" w:rsidP="00FF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C9D1A" w14:textId="77777777" w:rsidR="007B33FC" w:rsidRPr="007B33FC" w:rsidRDefault="007B33FC" w:rsidP="007B33FC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Внутрішні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незаразні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хвороби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: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підручник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/ [М.І.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Цвіліховський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В.І. Береза В.С.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Січкар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.]; За ред. М.І.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Цвіліховського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[3-є вид.] – К.: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Аграрна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освіта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2014. – 614 с.</w:t>
      </w:r>
    </w:p>
    <w:p w14:paraId="58D3C97B" w14:textId="77777777" w:rsidR="007B33FC" w:rsidRPr="007B33FC" w:rsidRDefault="007B33FC" w:rsidP="007B33FC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lastRenderedPageBreak/>
        <w:t>Внутрішні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хвороби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: практикум / [М. 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Цвіліховський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Н. І. Бойко, С. 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Голопура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.]; за ред. М.І.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Цвіліховського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– </w:t>
      </w:r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К. :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ЦП КОМПРИНТ, 2016. – 224 с.</w:t>
      </w:r>
    </w:p>
    <w:p w14:paraId="4FE5681F" w14:textId="77777777" w:rsidR="007B33FC" w:rsidRPr="007B33FC" w:rsidRDefault="007B33FC" w:rsidP="007B33FC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  <w:lang w:val="en-US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Внутрішні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хвор</w:t>
      </w:r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o</w:t>
      </w:r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би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/ [В.І. Л</w:t>
      </w:r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e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вченко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І.П.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Кондрахін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В.В.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Влізло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.]; за ред. </w:t>
      </w:r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В.І.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Левченка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, 2012. – Ч.1. – 528 c.</w:t>
      </w:r>
    </w:p>
    <w:p w14:paraId="2ED85171" w14:textId="77777777" w:rsidR="007B33FC" w:rsidRPr="007B33FC" w:rsidRDefault="007B33FC" w:rsidP="007B33FC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Внутрішні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хворoби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/ [В.І.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Лeвченко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, В.В.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Влізло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, І.П.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Кондрахін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та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.];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за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ред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. </w:t>
      </w:r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В.І.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Левченка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2015. – Ч.2. – 610 </w:t>
      </w:r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c</w:t>
      </w:r>
      <w:r w:rsidRPr="007B33FC">
        <w:rPr>
          <w:rFonts w:ascii="Times New Roman" w:hAnsi="Times New Roman" w:cs="Times New Roman"/>
          <w:color w:val="222A35"/>
          <w:sz w:val="24"/>
          <w:szCs w:val="24"/>
        </w:rPr>
        <w:t>.</w:t>
      </w:r>
    </w:p>
    <w:p w14:paraId="3BB93045" w14:textId="77777777" w:rsidR="007B33FC" w:rsidRPr="007B33FC" w:rsidRDefault="007B33FC" w:rsidP="007B33FC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Ветеринарна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клінічна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біохімія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/ В.І. Левченко та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ін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/ за ред. В.І.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Левченка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В.Л.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Галяса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2002. 400 с.</w:t>
      </w:r>
    </w:p>
    <w:p w14:paraId="57DAA23D" w14:textId="77777777" w:rsidR="007B33FC" w:rsidRDefault="007B33FC" w:rsidP="007B33F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</w:p>
    <w:p w14:paraId="4A7DA733" w14:textId="6A3A40F3" w:rsidR="007B33FC" w:rsidRPr="007B33FC" w:rsidRDefault="007B33FC" w:rsidP="007B33F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Допоміжна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література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:</w:t>
      </w:r>
    </w:p>
    <w:p w14:paraId="51842B17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Сенчук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И.В. Профилактика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кетоза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гепатодистрофии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овцематок с использованием лечебно-профилактической добавки / И.В.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Сенчук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//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Вісник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Білоцерків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держав.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аграр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ун-ту: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праць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2008.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Вип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51. – С. 122–126.</w:t>
      </w:r>
    </w:p>
    <w:p w14:paraId="7A68AF19" w14:textId="7AC5CA4F" w:rsidR="007B33FC" w:rsidRPr="003661AA" w:rsidRDefault="007B33FC" w:rsidP="00C9426B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Судаков М. О. </w:t>
      </w:r>
      <w:proofErr w:type="spell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Мікроелементози</w:t>
      </w:r>
      <w:proofErr w:type="spell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сільськогосподарських</w:t>
      </w:r>
      <w:proofErr w:type="spell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gram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/[</w:t>
      </w:r>
      <w:proofErr w:type="gram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М. О. Судаков, В. І. Береза, І. Г. </w:t>
      </w:r>
      <w:proofErr w:type="spell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Погурський</w:t>
      </w:r>
      <w:proofErr w:type="spell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 та </w:t>
      </w:r>
      <w:proofErr w:type="spell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ін</w:t>
      </w:r>
      <w:proofErr w:type="spellEnd"/>
      <w:r w:rsidRPr="003661AA">
        <w:rPr>
          <w:rFonts w:ascii="Times New Roman" w:hAnsi="Times New Roman" w:cs="Times New Roman"/>
          <w:color w:val="222A35"/>
          <w:sz w:val="24"/>
          <w:szCs w:val="24"/>
        </w:rPr>
        <w:t>.] ; за ред.</w:t>
      </w:r>
      <w:r w:rsidR="003661AA" w:rsidRPr="003661AA">
        <w:rPr>
          <w:rFonts w:ascii="Times New Roman" w:hAnsi="Times New Roman" w:cs="Times New Roman"/>
          <w:color w:val="222A35"/>
          <w:sz w:val="24"/>
          <w:szCs w:val="24"/>
          <w:lang w:val="uk-UA"/>
        </w:rPr>
        <w:t xml:space="preserve"> </w:t>
      </w:r>
      <w:bookmarkStart w:id="2" w:name="_GoBack"/>
      <w:bookmarkEnd w:id="2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М. О. Судакова. – [2-е вид.]. – </w:t>
      </w:r>
      <w:proofErr w:type="gramStart"/>
      <w:r w:rsidRPr="003661AA">
        <w:rPr>
          <w:rFonts w:ascii="Times New Roman" w:hAnsi="Times New Roman" w:cs="Times New Roman"/>
          <w:color w:val="222A35"/>
          <w:sz w:val="24"/>
          <w:szCs w:val="24"/>
        </w:rPr>
        <w:t>К. :</w:t>
      </w:r>
      <w:proofErr w:type="gramEnd"/>
      <w:r w:rsidRPr="003661AA">
        <w:rPr>
          <w:rFonts w:ascii="Times New Roman" w:hAnsi="Times New Roman" w:cs="Times New Roman"/>
          <w:color w:val="222A35"/>
          <w:sz w:val="24"/>
          <w:szCs w:val="24"/>
        </w:rPr>
        <w:t xml:space="preserve"> Урожай, 1991. – 144 с.</w:t>
      </w:r>
    </w:p>
    <w:p w14:paraId="1D123FEE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  <w:lang w:val="en-US"/>
        </w:rPr>
      </w:pPr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Merck Veterinary Manual. Ed. By Susan E. Aiello, Michael A. Moses. 11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>th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  <w:lang w:val="en-US"/>
        </w:rPr>
        <w:t xml:space="preserve"> edition. 2016.</w:t>
      </w:r>
    </w:p>
    <w:p w14:paraId="602B4C06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Немова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Порушення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мінерального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обміну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в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організмі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молочних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кіз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(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профілактика</w:t>
      </w:r>
      <w:proofErr w:type="spellEnd"/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) :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автореф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здоб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ступеня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канд.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наук: спец. 16.00.01 «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терапія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» / Т.В.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Немова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Київ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2010. – 22 с.</w:t>
      </w:r>
    </w:p>
    <w:p w14:paraId="781075B7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Русин В.І.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Профілактика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мікроелементозів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корів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в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умовах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біогеохімічної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провінції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Львівської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області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: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автореф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здоб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ступеня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канд.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наук: спец. 16.00.01 «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терапія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» / В.І. Русин.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Київ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2011. – 18 с.</w:t>
      </w:r>
    </w:p>
    <w:p w14:paraId="2A80F122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Горальська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І.Ю.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Гепаторенальний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синдром у собак за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бабезіозу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(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лікування</w:t>
      </w:r>
      <w:proofErr w:type="spellEnd"/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) :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автореф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здоб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ступеня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канд.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наук: спец. 16.00.01 «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терапія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» / І.Ю.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Горальська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2011. – 18 с.</w:t>
      </w:r>
    </w:p>
    <w:p w14:paraId="2FAF5E60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Шарандак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П.В.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Етіологія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клініко-функціональні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методи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міокардіодистрофії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у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високопродуктивних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корів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їх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лікування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: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автореф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дис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здобуття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ступеня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канд.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наук: спец. 16.00.01 «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терапія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» / П.В.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Шарандак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, 2007. – 22 с.</w:t>
      </w:r>
    </w:p>
    <w:p w14:paraId="75C4451D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Вовкотруб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Н.В.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Нефротичний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синдром у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високопродуктивних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корів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новонароджених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телят (патогенез,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лікування</w:t>
      </w:r>
      <w:proofErr w:type="spellEnd"/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) :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автореф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дис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здобуття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ступеня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канд.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вет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наук: спец. 16.00.01 «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Діагностика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і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терапія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тварин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» / Н.В.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Вовкотруб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</w:t>
      </w:r>
      <w:proofErr w:type="gram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2005.–</w:t>
      </w:r>
      <w:proofErr w:type="gram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22 с.</w:t>
      </w:r>
    </w:p>
    <w:p w14:paraId="059C6B3D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Сенчук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И.В. Профилактика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кетоза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гепатодистрофии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овцематок с использованием лечебно-профилактической добавки / И.В.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Сенчук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//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Вісник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Білоцерків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держав.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аграр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ун-ту: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Зб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наук.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праць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Біла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Церква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2008. –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Вип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51. – С. 122–126.</w:t>
      </w:r>
    </w:p>
    <w:p w14:paraId="5CCAC6D2" w14:textId="77777777" w:rsidR="007B33FC" w:rsidRPr="007B33FC" w:rsidRDefault="007B33FC" w:rsidP="007B33FC">
      <w:pPr>
        <w:pStyle w:val="af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Кондрахин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И.П. Методические рекомендации по диагностике, лечению и профилактике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кетоза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и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гепатодистрофии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 овцематок / И.П.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Кондрахин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 xml:space="preserve">, И.В. </w:t>
      </w:r>
      <w:proofErr w:type="spellStart"/>
      <w:r w:rsidRPr="007B33FC">
        <w:rPr>
          <w:rFonts w:ascii="Times New Roman" w:hAnsi="Times New Roman" w:cs="Times New Roman"/>
          <w:color w:val="222A35"/>
          <w:sz w:val="24"/>
          <w:szCs w:val="24"/>
        </w:rPr>
        <w:t>Сенчук</w:t>
      </w:r>
      <w:proofErr w:type="spellEnd"/>
      <w:r w:rsidRPr="007B33FC">
        <w:rPr>
          <w:rFonts w:ascii="Times New Roman" w:hAnsi="Times New Roman" w:cs="Times New Roman"/>
          <w:color w:val="222A35"/>
          <w:sz w:val="24"/>
          <w:szCs w:val="24"/>
        </w:rPr>
        <w:t>. – Симферополь, 2008. – 16 с.</w:t>
      </w:r>
    </w:p>
    <w:p w14:paraId="19A23C7C" w14:textId="77777777" w:rsidR="00FF1FFE" w:rsidRPr="00FF1FFE" w:rsidRDefault="00FF1FFE" w:rsidP="007B33F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222A35"/>
          <w:sz w:val="24"/>
          <w:szCs w:val="24"/>
        </w:rPr>
      </w:pPr>
    </w:p>
    <w:p w14:paraId="7FF73005" w14:textId="77777777" w:rsidR="00FF1FFE" w:rsidRPr="00FF1FFE" w:rsidRDefault="00FF1FFE" w:rsidP="00FF1FF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color w:val="222A35"/>
          <w:sz w:val="24"/>
          <w:szCs w:val="24"/>
        </w:rPr>
      </w:pPr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 xml:space="preserve">13. </w:t>
      </w:r>
      <w:proofErr w:type="spellStart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Інформаційні</w:t>
      </w:r>
      <w:proofErr w:type="spellEnd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 xml:space="preserve"> </w:t>
      </w:r>
      <w:proofErr w:type="spellStart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ресурси</w:t>
      </w:r>
      <w:proofErr w:type="spellEnd"/>
      <w:r w:rsidRPr="00FF1FFE">
        <w:rPr>
          <w:rFonts w:ascii="Times New Roman" w:hAnsi="Times New Roman" w:cs="Times New Roman"/>
          <w:b/>
          <w:color w:val="222A35"/>
          <w:sz w:val="24"/>
          <w:szCs w:val="24"/>
        </w:rPr>
        <w:t>:</w:t>
      </w:r>
    </w:p>
    <w:p w14:paraId="48FA1AE4" w14:textId="77777777" w:rsidR="00FF1FFE" w:rsidRPr="00FF1FFE" w:rsidRDefault="00FF1FFE" w:rsidP="00FF1F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222A35"/>
          <w:sz w:val="24"/>
          <w:szCs w:val="24"/>
        </w:rPr>
      </w:pPr>
      <w:bookmarkStart w:id="3" w:name="_3dy6vkm" w:colFirst="0" w:colLast="0"/>
      <w:bookmarkEnd w:id="3"/>
      <w:r w:rsidRPr="00FF1FFE">
        <w:rPr>
          <w:rFonts w:ascii="Times New Roman" w:hAnsi="Times New Roman" w:cs="Times New Roman"/>
          <w:color w:val="222A35"/>
          <w:sz w:val="24"/>
          <w:szCs w:val="24"/>
        </w:rPr>
        <w:t>1.</w:t>
      </w:r>
      <w:r w:rsidRPr="00FF1FFE">
        <w:rPr>
          <w:rFonts w:ascii="Times New Roman" w:hAnsi="Times New Roman" w:cs="Times New Roman"/>
          <w:color w:val="222A35"/>
          <w:sz w:val="24"/>
          <w:szCs w:val="24"/>
        </w:rPr>
        <w:tab/>
      </w:r>
      <w:hyperlink r:id="rId6">
        <w:r w:rsidRPr="00FF1FFE">
          <w:rPr>
            <w:rFonts w:ascii="Times New Roman" w:hAnsi="Times New Roman" w:cs="Times New Roman"/>
            <w:color w:val="222A35"/>
            <w:sz w:val="24"/>
            <w:szCs w:val="24"/>
            <w:u w:val="single"/>
          </w:rPr>
          <w:t>http://www.ncbi.nlm.nih.gov/pubmed/</w:t>
        </w:r>
      </w:hyperlink>
    </w:p>
    <w:p w14:paraId="3DE66609" w14:textId="77777777" w:rsidR="00FF1FFE" w:rsidRPr="00FF1FFE" w:rsidRDefault="00FF1FFE" w:rsidP="00FF1F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222A35"/>
          <w:sz w:val="24"/>
          <w:szCs w:val="24"/>
        </w:rPr>
      </w:pPr>
      <w:bookmarkStart w:id="4" w:name="_1t3h5sf" w:colFirst="0" w:colLast="0"/>
      <w:bookmarkEnd w:id="4"/>
      <w:r w:rsidRPr="00FF1FFE">
        <w:rPr>
          <w:rFonts w:ascii="Times New Roman" w:hAnsi="Times New Roman" w:cs="Times New Roman"/>
          <w:color w:val="222A35"/>
          <w:sz w:val="24"/>
          <w:szCs w:val="24"/>
        </w:rPr>
        <w:t>2.</w:t>
      </w:r>
      <w:r w:rsidRPr="00FF1FFE">
        <w:rPr>
          <w:rFonts w:ascii="Times New Roman" w:hAnsi="Times New Roman" w:cs="Times New Roman"/>
          <w:color w:val="222A35"/>
          <w:sz w:val="24"/>
          <w:szCs w:val="24"/>
        </w:rPr>
        <w:tab/>
      </w:r>
      <w:hyperlink r:id="rId7">
        <w:r w:rsidRPr="00FF1FFE">
          <w:rPr>
            <w:rFonts w:ascii="Times New Roman" w:hAnsi="Times New Roman" w:cs="Times New Roman"/>
            <w:color w:val="222A35"/>
            <w:sz w:val="24"/>
            <w:szCs w:val="24"/>
            <w:u w:val="single"/>
          </w:rPr>
          <w:t>http://www.evj.co.uk/evj</w:t>
        </w:r>
      </w:hyperlink>
    </w:p>
    <w:p w14:paraId="4AE52C81" w14:textId="77777777" w:rsidR="00FF1FFE" w:rsidRPr="00FF1FFE" w:rsidRDefault="00FF1FFE" w:rsidP="00FF1F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222A35"/>
          <w:sz w:val="24"/>
          <w:szCs w:val="24"/>
        </w:rPr>
      </w:pPr>
      <w:bookmarkStart w:id="5" w:name="_4d34og8" w:colFirst="0" w:colLast="0"/>
      <w:bookmarkEnd w:id="5"/>
      <w:r w:rsidRPr="00FF1FFE">
        <w:rPr>
          <w:rFonts w:ascii="Times New Roman" w:hAnsi="Times New Roman" w:cs="Times New Roman"/>
          <w:color w:val="222A35"/>
          <w:sz w:val="24"/>
          <w:szCs w:val="24"/>
        </w:rPr>
        <w:t>3.</w:t>
      </w:r>
      <w:r w:rsidRPr="00FF1FFE">
        <w:rPr>
          <w:rFonts w:ascii="Times New Roman" w:hAnsi="Times New Roman" w:cs="Times New Roman"/>
          <w:color w:val="222A35"/>
          <w:sz w:val="24"/>
          <w:szCs w:val="24"/>
        </w:rPr>
        <w:tab/>
      </w:r>
      <w:hyperlink r:id="rId8">
        <w:r w:rsidRPr="00FF1FFE">
          <w:rPr>
            <w:rFonts w:ascii="Times New Roman" w:hAnsi="Times New Roman" w:cs="Times New Roman"/>
            <w:color w:val="222A35"/>
            <w:sz w:val="24"/>
            <w:szCs w:val="24"/>
            <w:u w:val="single"/>
          </w:rPr>
          <w:t>http://www.sciencedirect.com/science/journal/10900233</w:t>
        </w:r>
      </w:hyperlink>
    </w:p>
    <w:p w14:paraId="54E92468" w14:textId="77777777" w:rsidR="00FF1FFE" w:rsidRPr="00FF1FFE" w:rsidRDefault="00FF1FFE" w:rsidP="00FF1F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hAnsi="Times New Roman" w:cs="Times New Roman"/>
          <w:color w:val="222A35"/>
          <w:sz w:val="24"/>
          <w:szCs w:val="24"/>
        </w:rPr>
      </w:pPr>
      <w:bookmarkStart w:id="6" w:name="_2s8eyo1" w:colFirst="0" w:colLast="0"/>
      <w:bookmarkEnd w:id="6"/>
      <w:r w:rsidRPr="00FF1FFE">
        <w:rPr>
          <w:rFonts w:ascii="Times New Roman" w:hAnsi="Times New Roman" w:cs="Times New Roman"/>
          <w:color w:val="222A35"/>
          <w:sz w:val="24"/>
          <w:szCs w:val="24"/>
        </w:rPr>
        <w:t>4.</w:t>
      </w:r>
      <w:r w:rsidRPr="00FF1FFE">
        <w:rPr>
          <w:rFonts w:ascii="Times New Roman" w:hAnsi="Times New Roman" w:cs="Times New Roman"/>
          <w:color w:val="222A35"/>
          <w:sz w:val="24"/>
          <w:szCs w:val="24"/>
        </w:rPr>
        <w:tab/>
      </w:r>
      <w:hyperlink r:id="rId9">
        <w:r w:rsidRPr="00FF1FFE">
          <w:rPr>
            <w:rFonts w:ascii="Times New Roman" w:hAnsi="Times New Roman" w:cs="Times New Roman"/>
            <w:color w:val="222A35"/>
            <w:sz w:val="24"/>
            <w:szCs w:val="24"/>
            <w:u w:val="single"/>
          </w:rPr>
          <w:t>https://onlinelibrary.wiley.com/</w:t>
        </w:r>
      </w:hyperlink>
    </w:p>
    <w:p w14:paraId="3AD1632D" w14:textId="2C8280DA" w:rsidR="00292997" w:rsidRDefault="00FF1FFE" w:rsidP="007B33F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17dp8vu" w:colFirst="0" w:colLast="0"/>
      <w:bookmarkEnd w:id="7"/>
      <w:r w:rsidRPr="00FF1FFE">
        <w:rPr>
          <w:rFonts w:ascii="Times New Roman" w:hAnsi="Times New Roman" w:cs="Times New Roman"/>
          <w:color w:val="222A35"/>
          <w:sz w:val="24"/>
          <w:szCs w:val="24"/>
        </w:rPr>
        <w:t>5.</w:t>
      </w:r>
      <w:r w:rsidRPr="00FF1FFE">
        <w:rPr>
          <w:rFonts w:ascii="Times New Roman" w:hAnsi="Times New Roman" w:cs="Times New Roman"/>
          <w:color w:val="222A35"/>
          <w:sz w:val="24"/>
          <w:szCs w:val="24"/>
        </w:rPr>
        <w:tab/>
      </w:r>
      <w:hyperlink r:id="rId10">
        <w:r w:rsidRPr="00FF1FFE">
          <w:rPr>
            <w:rFonts w:ascii="Times New Roman" w:hAnsi="Times New Roman" w:cs="Times New Roman"/>
            <w:color w:val="222A35"/>
            <w:sz w:val="24"/>
            <w:szCs w:val="24"/>
            <w:u w:val="single"/>
          </w:rPr>
          <w:t>http://www.fei.org/fei/your-role/veterinarians</w:t>
        </w:r>
      </w:hyperlink>
    </w:p>
    <w:sectPr w:rsidR="00292997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313"/>
    <w:multiLevelType w:val="hybridMultilevel"/>
    <w:tmpl w:val="5D340C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6450B4"/>
    <w:multiLevelType w:val="multilevel"/>
    <w:tmpl w:val="C1BE1C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82A06EF"/>
    <w:multiLevelType w:val="multilevel"/>
    <w:tmpl w:val="802A5550"/>
    <w:lvl w:ilvl="0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1" w:hanging="180"/>
      </w:pPr>
      <w:rPr>
        <w:vertAlign w:val="baseline"/>
      </w:rPr>
    </w:lvl>
  </w:abstractNum>
  <w:abstractNum w:abstractNumId="3" w15:restartNumberingAfterBreak="0">
    <w:nsid w:val="455815A6"/>
    <w:multiLevelType w:val="multilevel"/>
    <w:tmpl w:val="56A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F3BF6"/>
    <w:multiLevelType w:val="multilevel"/>
    <w:tmpl w:val="371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51AD7"/>
    <w:multiLevelType w:val="multilevel"/>
    <w:tmpl w:val="BBE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D76E3"/>
    <w:multiLevelType w:val="hybridMultilevel"/>
    <w:tmpl w:val="5D340C0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97"/>
    <w:rsid w:val="00086231"/>
    <w:rsid w:val="00292997"/>
    <w:rsid w:val="002E0CFE"/>
    <w:rsid w:val="003661AA"/>
    <w:rsid w:val="00562FB4"/>
    <w:rsid w:val="005C70E7"/>
    <w:rsid w:val="007B33FC"/>
    <w:rsid w:val="00983766"/>
    <w:rsid w:val="00B3245D"/>
    <w:rsid w:val="00F17C28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A82"/>
  <w15:docId w15:val="{6DB753AF-39F5-4F40-9F3B-474706B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8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376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1519,baiaagaaboqcaaadvrgaaaxikaaaaaaaaaaaaaaaaaaaaaaaaaaaaaaaaaaaaaaaaaaaaaaaaaaaaaaaaaaaaaaaaaaaaaaaaaaaaaaaaaaaaaaaaaaaaaaaaaaaaaaaaaaaaaaaaaaaaaaaaaaaaaaaaaaaaaaaaaaaaaaaaaaaaaaaaaaaaaaaaaaaaaaaaaaaaaaaaaaaaaaaaaaaaaaaaaaaaaaaaaaaaaa"/>
    <w:basedOn w:val="a"/>
    <w:rsid w:val="00F1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semiHidden/>
    <w:unhideWhenUsed/>
    <w:rsid w:val="00F1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List Paragraph"/>
    <w:basedOn w:val="a"/>
    <w:uiPriority w:val="34"/>
    <w:qFormat/>
    <w:rsid w:val="007B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0900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j.co.uk/ev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ei.org/fei/your-role/veterin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6177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2023-10-18T17:13:00Z</dcterms:created>
  <dcterms:modified xsi:type="dcterms:W3CDTF">2023-10-20T07:15:00Z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588e9abfeab0ae4c1a1601eb9ca3a11ab54ad904e41ef35e7159d6667777ba57</vt:lpwstr>
  </property>
</Properties>
</file>