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8A" w:rsidRPr="00177A8A" w:rsidRDefault="00177A8A" w:rsidP="00177A8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77A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ВЕТЕРИНАРНЕ ГРОМАДСЬКЕ ЗДОРОВ'Я</w:t>
      </w:r>
    </w:p>
    <w:p w:rsidR="00290467" w:rsidRDefault="00290467" w:rsidP="0029046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p w:rsidR="00D84973" w:rsidRDefault="000044E0" w:rsidP="0029046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Кафедра ветеринарної </w:t>
      </w:r>
      <w:r w:rsidR="00D84973" w:rsidRPr="00D849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гігієни </w:t>
      </w:r>
      <w:r w:rsidR="00D849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ім. професора А.К. </w:t>
      </w:r>
      <w:proofErr w:type="spellStart"/>
      <w:r w:rsidR="00D849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Скороходька</w:t>
      </w:r>
      <w:proofErr w:type="spellEnd"/>
    </w:p>
    <w:p w:rsidR="00D84973" w:rsidRDefault="00D84973" w:rsidP="00290467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84973" w:rsidRDefault="00995353" w:rsidP="00995353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Факультет ветеринарної медицини</w:t>
      </w:r>
    </w:p>
    <w:p w:rsidR="00995353" w:rsidRDefault="00995353" w:rsidP="00995353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95353" w:rsidRPr="00E12F13" w:rsidRDefault="00995353" w:rsidP="00E12F13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2F13">
        <w:rPr>
          <w:rFonts w:ascii="Times New Roman" w:eastAsia="Times New Roman" w:hAnsi="Times New Roman"/>
          <w:sz w:val="28"/>
          <w:szCs w:val="28"/>
          <w:lang w:val="uk-UA" w:eastAsia="ru-RU"/>
        </w:rPr>
        <w:t>Лектор</w:t>
      </w:r>
      <w:r w:rsidR="00177A8A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E12F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</w:t>
      </w:r>
      <w:r w:rsidR="00E12F13" w:rsidRPr="00E12F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проф.</w:t>
      </w:r>
      <w:r w:rsidRPr="00E12F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177A8A">
        <w:rPr>
          <w:rFonts w:ascii="Times New Roman" w:eastAsia="Times New Roman" w:hAnsi="Times New Roman"/>
          <w:sz w:val="28"/>
          <w:szCs w:val="28"/>
          <w:lang w:val="uk-UA" w:eastAsia="ru-RU"/>
        </w:rPr>
        <w:t>Якубчак</w:t>
      </w:r>
      <w:proofErr w:type="spellEnd"/>
      <w:r w:rsid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О.М., доц. </w:t>
      </w:r>
      <w:proofErr w:type="spellStart"/>
      <w:r w:rsidR="00177A8A">
        <w:rPr>
          <w:rFonts w:ascii="Times New Roman" w:eastAsia="Times New Roman" w:hAnsi="Times New Roman"/>
          <w:sz w:val="28"/>
          <w:szCs w:val="28"/>
          <w:lang w:val="uk-UA" w:eastAsia="ru-RU"/>
        </w:rPr>
        <w:t>Галабурда</w:t>
      </w:r>
      <w:proofErr w:type="spellEnd"/>
      <w:r w:rsid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М.А.</w:t>
      </w:r>
    </w:p>
    <w:p w:rsidR="00E12F13" w:rsidRPr="00E12F13" w:rsidRDefault="00E12F13" w:rsidP="00E12F1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Семестр: 2</w:t>
      </w:r>
    </w:p>
    <w:p w:rsidR="00E12F13" w:rsidRPr="00E12F13" w:rsidRDefault="00E12F13" w:rsidP="00E12F13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-науковий ступінь</w:t>
      </w:r>
      <w:r w:rsidRPr="00E12F13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доктор філософії</w:t>
      </w:r>
    </w:p>
    <w:p w:rsidR="00E12F13" w:rsidRPr="00E12F13" w:rsidRDefault="00E12F13" w:rsidP="00E12F1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кредитів (ЄКТС) – 5</w:t>
      </w:r>
    </w:p>
    <w:p w:rsidR="00E12F13" w:rsidRPr="00E12F13" w:rsidRDefault="00E12F13" w:rsidP="00E12F1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12F13">
        <w:rPr>
          <w:rFonts w:ascii="Times New Roman" w:hAnsi="Times New Roman"/>
          <w:sz w:val="28"/>
          <w:szCs w:val="28"/>
          <w:lang w:val="uk-UA"/>
        </w:rPr>
        <w:t>Ф</w:t>
      </w:r>
      <w:r w:rsidR="004A4BEE">
        <w:rPr>
          <w:rFonts w:ascii="Times New Roman" w:hAnsi="Times New Roman"/>
          <w:sz w:val="28"/>
          <w:szCs w:val="28"/>
          <w:lang w:val="uk-UA"/>
        </w:rPr>
        <w:t>о</w:t>
      </w:r>
      <w:r w:rsidRPr="00E12F13">
        <w:rPr>
          <w:rFonts w:ascii="Times New Roman" w:hAnsi="Times New Roman"/>
          <w:sz w:val="28"/>
          <w:szCs w:val="28"/>
          <w:lang w:val="uk-UA"/>
        </w:rPr>
        <w:t>рма контролю – Екзамен</w:t>
      </w:r>
    </w:p>
    <w:p w:rsidR="00E12F13" w:rsidRPr="001B5C13" w:rsidRDefault="00E12F13" w:rsidP="00E12F13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12F13">
        <w:rPr>
          <w:rFonts w:ascii="Times New Roman" w:hAnsi="Times New Roman"/>
          <w:sz w:val="28"/>
          <w:szCs w:val="28"/>
          <w:lang w:val="uk-UA"/>
        </w:rPr>
        <w:t xml:space="preserve">Аудиторні години – </w:t>
      </w:r>
      <w:r w:rsidR="00000E39">
        <w:rPr>
          <w:rFonts w:ascii="Times New Roman" w:hAnsi="Times New Roman"/>
          <w:sz w:val="28"/>
          <w:szCs w:val="28"/>
          <w:lang w:val="uk-UA"/>
        </w:rPr>
        <w:t>4</w:t>
      </w:r>
      <w:r w:rsidRPr="00E12F13">
        <w:rPr>
          <w:rFonts w:ascii="Times New Roman" w:hAnsi="Times New Roman"/>
          <w:sz w:val="28"/>
          <w:szCs w:val="28"/>
          <w:lang w:val="uk-UA"/>
        </w:rPr>
        <w:t>0</w:t>
      </w:r>
      <w:r w:rsidR="00000E39">
        <w:rPr>
          <w:rFonts w:ascii="Times New Roman" w:hAnsi="Times New Roman"/>
          <w:sz w:val="24"/>
          <w:szCs w:val="24"/>
          <w:lang w:val="uk-UA"/>
        </w:rPr>
        <w:t xml:space="preserve">  (20 год лекцій, 20</w:t>
      </w:r>
      <w:r w:rsidRPr="001B5C13">
        <w:rPr>
          <w:rFonts w:ascii="Times New Roman" w:hAnsi="Times New Roman"/>
          <w:sz w:val="24"/>
          <w:szCs w:val="24"/>
          <w:lang w:val="uk-UA"/>
        </w:rPr>
        <w:t xml:space="preserve"> год лабораторних занять)</w:t>
      </w:r>
    </w:p>
    <w:p w:rsidR="00E12F13" w:rsidRPr="0049601A" w:rsidRDefault="00E12F13" w:rsidP="00E12F13">
      <w:pPr>
        <w:rPr>
          <w:rFonts w:ascii="Times New Roman" w:hAnsi="Times New Roman"/>
          <w:sz w:val="28"/>
          <w:szCs w:val="28"/>
          <w:lang w:val="uk-UA"/>
        </w:rPr>
      </w:pPr>
    </w:p>
    <w:p w:rsidR="00E12F13" w:rsidRPr="0049601A" w:rsidRDefault="00E12F13" w:rsidP="00E12F1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601A">
        <w:rPr>
          <w:rFonts w:ascii="Times New Roman" w:hAnsi="Times New Roman"/>
          <w:b/>
          <w:sz w:val="28"/>
          <w:szCs w:val="28"/>
          <w:lang w:val="uk-UA"/>
        </w:rPr>
        <w:t>Загальний опис дисципліни.</w:t>
      </w:r>
    </w:p>
    <w:p w:rsidR="00177A8A" w:rsidRPr="00177A8A" w:rsidRDefault="00177A8A" w:rsidP="00177A8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>Ветеринарне громадське здоров'я було визначено Продовольчою та сільськогосподарською організацією ООН (ФАО), Всесвітньою орган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ізацією охорони здоров'я (ВООЗ),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Всесвітньою організацією охорони здоров'я тварин (МЕБ) як «сукупність всіх заходів щодо фізичного, психічного та соціального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добробуту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людини через розуміння та застосування ветеринарної науки». Таким чином, ветеринарне громадське здоров'я охоплює такі сфери знань: діагностика, нагляд, епідеміологія, контроль, профілактика та ліквідація зоонозів та захворювань, які загрожують продовольчій безпеці та соціальній згуртованості; захист продуктів харчування (включаючи м'ясні та молочні продукти) для споживання людиною; науки про харчові продукти, та м'ясні продукти; охорону довкілля; стандарти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благополуччя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тварин; а також соціальні, поведінкові та психічні аспекти взаємин людина-тварина. </w:t>
      </w:r>
      <w:proofErr w:type="spellStart"/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>Біобезпека</w:t>
      </w:r>
      <w:proofErr w:type="spellEnd"/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галузі ветеринарії суттєво пов'язана з ветеринарним громадським здоров'ям і охоплює конкретні аспекти щодо запобігання захворюванням, нагляду за захворюваннями на національному, регіональному рівні та на рівні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отужності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(ферми).</w:t>
      </w:r>
    </w:p>
    <w:p w:rsidR="00177A8A" w:rsidRPr="00177A8A" w:rsidRDefault="00177A8A" w:rsidP="00177A8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>Важливість дослідження охорони здоров'я в галузі ветеринарної медицини (ВГЗ) можна оцінити, якщо врахувати, що в основному, галузь тваринництва орієнтована на виробництво продуктів ха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рчування, призначених 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>для споживання людиною, таких як м'ясо, молочні продукти та яйця.</w:t>
      </w:r>
    </w:p>
    <w:p w:rsidR="00177A8A" w:rsidRPr="00177A8A" w:rsidRDefault="00177A8A" w:rsidP="00177A8A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>Виробництво безпечних та корисних харчових продуктів має бути метою будь-якого виробничого циклу, незалежно від призначення: внутрішнього споживання чи для міжнародної торгівлі.</w:t>
      </w:r>
    </w:p>
    <w:p w:rsidR="00177A8A" w:rsidRPr="00177A8A" w:rsidRDefault="00177A8A" w:rsidP="00177A8A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>Отже, 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здобувачів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форму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ються сучасні знання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теорії та практики основних концепцій ветеринарного громадського здоров’я.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>Здатність розв’язувати складні задачі і п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итання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галузі ветеринарного громадського 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здоров’я або у процесі навчання, що передбачає проведення досліджень та/або здійснення інновацій та характеризується невизначеністю умов і вимог.</w:t>
      </w:r>
    </w:p>
    <w:p w:rsidR="00177A8A" w:rsidRPr="00177A8A" w:rsidRDefault="00177A8A" w:rsidP="00177A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val="uk-UA" w:eastAsia="ru-RU"/>
        </w:rPr>
      </w:pP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Дисципліна надає огляд ролі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лі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каря 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>ветеринарн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 медицини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77A8A">
        <w:rPr>
          <w:rFonts w:ascii="Times New Roman" w:eastAsia="Times New Roman" w:hAnsi="Times New Roman"/>
          <w:sz w:val="28"/>
          <w:szCs w:val="28"/>
          <w:lang w:val="uk-UA" w:eastAsia="ru-RU"/>
        </w:rPr>
        <w:t>щодо охорони здоров'я населення. Під час курсу вивчаються шляхи, за допомогою яких збудники хвороби можуть передаватися від тварин людям. Слухачі ознайомляться з деякими методами, які використовуються для оцінки ризику передачі, і розглянути, як захистити громадськість від цих небезпечних факторів.</w:t>
      </w:r>
    </w:p>
    <w:p w:rsidR="002E4C25" w:rsidRPr="00FD7846" w:rsidRDefault="002E4C25" w:rsidP="00FD7846">
      <w:pPr>
        <w:spacing w:after="0" w:line="240" w:lineRule="auto"/>
        <w:ind w:firstLine="74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575"/>
        <w:gridCol w:w="9332"/>
      </w:tblGrid>
      <w:tr w:rsidR="00060AA2" w:rsidRPr="00BD4CFE" w:rsidTr="00FA58CF">
        <w:trPr>
          <w:trHeight w:val="546"/>
        </w:trPr>
        <w:tc>
          <w:tcPr>
            <w:tcW w:w="290" w:type="pct"/>
          </w:tcPr>
          <w:p w:rsidR="00060AA2" w:rsidRPr="00BD4CFE" w:rsidRDefault="00060AA2" w:rsidP="00060AA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710" w:type="pct"/>
          </w:tcPr>
          <w:p w:rsidR="00060AA2" w:rsidRPr="00BD4CFE" w:rsidRDefault="0094262D" w:rsidP="0094262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D784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Теми лекцій</w:t>
            </w:r>
          </w:p>
        </w:tc>
      </w:tr>
      <w:tr w:rsidR="00060AA2" w:rsidRPr="00BD4CFE" w:rsidTr="00FA58CF">
        <w:trPr>
          <w:trHeight w:val="546"/>
        </w:trPr>
        <w:tc>
          <w:tcPr>
            <w:tcW w:w="290" w:type="pct"/>
          </w:tcPr>
          <w:p w:rsidR="00060AA2" w:rsidRPr="00BD4CFE" w:rsidRDefault="009213C9" w:rsidP="00FA58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10" w:type="pct"/>
          </w:tcPr>
          <w:p w:rsidR="00060AA2" w:rsidRPr="00BD4CFE" w:rsidRDefault="004C7ED4" w:rsidP="0094262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Предмет і методи </w:t>
            </w:r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ветеринарного </w:t>
            </w:r>
            <w:proofErr w:type="spellStart"/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громадського</w:t>
            </w:r>
            <w:proofErr w:type="spellEnd"/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здоров'я</w:t>
            </w:r>
            <w:proofErr w:type="spellEnd"/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060AA2" w:rsidRPr="004C7ED4" w:rsidTr="00FA58CF">
        <w:trPr>
          <w:trHeight w:val="546"/>
        </w:trPr>
        <w:tc>
          <w:tcPr>
            <w:tcW w:w="290" w:type="pct"/>
          </w:tcPr>
          <w:p w:rsidR="00060AA2" w:rsidRDefault="009213C9" w:rsidP="00FA58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710" w:type="pct"/>
          </w:tcPr>
          <w:p w:rsidR="00060AA2" w:rsidRPr="00BD4CFE" w:rsidRDefault="004C7ED4" w:rsidP="000E724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Законодавство ЄС. Основні положення Регламенту ЄС 882/2004 “Про офіційний контроль, здійснюваний з метою забезпечення перевірок відповідності законодавству щодо харчових продуктів та кормів, та правил щодо охорони здоров’я та благополуччя тварин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060AA2" w:rsidRPr="00BD4CFE" w:rsidTr="00FA58CF">
        <w:trPr>
          <w:trHeight w:val="546"/>
        </w:trPr>
        <w:tc>
          <w:tcPr>
            <w:tcW w:w="290" w:type="pct"/>
          </w:tcPr>
          <w:p w:rsidR="00060AA2" w:rsidRDefault="009213C9" w:rsidP="00FA58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10" w:type="pct"/>
          </w:tcPr>
          <w:p w:rsidR="00060AA2" w:rsidRPr="004C7ED4" w:rsidRDefault="004C7ED4" w:rsidP="00060AA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Засади та порядок здійснення державного контролю. </w:t>
            </w:r>
            <w:proofErr w:type="spellStart"/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Повноваження</w:t>
            </w:r>
            <w:proofErr w:type="spellEnd"/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, права та обов’язки </w:t>
            </w:r>
            <w:proofErr w:type="spellStart"/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державних</w:t>
            </w:r>
            <w:proofErr w:type="spellEnd"/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7E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інспекторів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060AA2" w:rsidRPr="00BD4CFE" w:rsidTr="00FA58CF">
        <w:trPr>
          <w:trHeight w:val="546"/>
        </w:trPr>
        <w:tc>
          <w:tcPr>
            <w:tcW w:w="290" w:type="pct"/>
          </w:tcPr>
          <w:p w:rsidR="00060AA2" w:rsidRDefault="009213C9" w:rsidP="00FA58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10" w:type="pct"/>
          </w:tcPr>
          <w:p w:rsidR="00060AA2" w:rsidRDefault="004C4374" w:rsidP="000E724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Плани державного контролю. Види, порядок затвердження</w:t>
            </w:r>
            <w:r w:rsidR="00060AA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060AA2" w:rsidRPr="00BD4CFE" w:rsidTr="00FA58CF">
        <w:trPr>
          <w:trHeight w:val="546"/>
        </w:trPr>
        <w:tc>
          <w:tcPr>
            <w:tcW w:w="290" w:type="pct"/>
          </w:tcPr>
          <w:p w:rsidR="00060AA2" w:rsidRDefault="009213C9" w:rsidP="00FA58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710" w:type="pct"/>
          </w:tcPr>
          <w:p w:rsidR="00060AA2" w:rsidRDefault="004C4374" w:rsidP="000E724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Права </w:t>
            </w:r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та обов’язки </w:t>
            </w: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операторів</w:t>
            </w:r>
            <w:proofErr w:type="spellEnd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ринку</w:t>
            </w:r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щодо </w:t>
            </w: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державного контролю </w:t>
            </w: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потужностей</w:t>
            </w:r>
            <w:proofErr w:type="spellEnd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об’єктів</w:t>
            </w:r>
            <w:proofErr w:type="spellEnd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санітарних</w:t>
            </w:r>
            <w:proofErr w:type="spellEnd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  <w:r w:rsidR="00060AA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060AA2" w:rsidRPr="004C4374" w:rsidTr="00FA58CF">
        <w:trPr>
          <w:trHeight w:val="546"/>
        </w:trPr>
        <w:tc>
          <w:tcPr>
            <w:tcW w:w="290" w:type="pct"/>
          </w:tcPr>
          <w:p w:rsidR="00060AA2" w:rsidRDefault="009213C9" w:rsidP="00FA58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710" w:type="pct"/>
          </w:tcPr>
          <w:p w:rsidR="00060AA2" w:rsidRPr="00BD4CFE" w:rsidRDefault="004C4374" w:rsidP="004C437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C4374">
              <w:rPr>
                <w:rFonts w:ascii="Times New Roman" w:hAnsi="Times New Roman"/>
                <w:sz w:val="28"/>
                <w:szCs w:val="28"/>
                <w:lang w:val="uk-UA"/>
              </w:rPr>
              <w:t>Дозвільні документи,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C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які отримують оператори ринку, що провадять діяльність, пов’язану з виробництвом та/або зберіганням харчових продуктів тваринного походження. </w:t>
            </w:r>
          </w:p>
        </w:tc>
      </w:tr>
      <w:tr w:rsidR="00060AA2" w:rsidRPr="00BD4CFE" w:rsidTr="00FA58CF">
        <w:trPr>
          <w:trHeight w:val="546"/>
        </w:trPr>
        <w:tc>
          <w:tcPr>
            <w:tcW w:w="290" w:type="pct"/>
          </w:tcPr>
          <w:p w:rsidR="00060AA2" w:rsidRDefault="009213C9" w:rsidP="00FA58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10" w:type="pct"/>
          </w:tcPr>
          <w:p w:rsidR="00060AA2" w:rsidRPr="00BD4CFE" w:rsidRDefault="004C4374" w:rsidP="000E724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Порядок видачі, тимчасове припинення та поновлення дії експлуатаційного дозволу.</w:t>
            </w:r>
          </w:p>
        </w:tc>
      </w:tr>
      <w:tr w:rsidR="00060AA2" w:rsidRPr="00BD4CFE" w:rsidTr="00FA58CF">
        <w:trPr>
          <w:trHeight w:val="546"/>
        </w:trPr>
        <w:tc>
          <w:tcPr>
            <w:tcW w:w="290" w:type="pct"/>
          </w:tcPr>
          <w:p w:rsidR="00060AA2" w:rsidRDefault="009213C9" w:rsidP="00FA58C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710" w:type="pct"/>
          </w:tcPr>
          <w:p w:rsidR="00060AA2" w:rsidRDefault="004C4374" w:rsidP="000E724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Державна</w:t>
            </w:r>
            <w:proofErr w:type="spellEnd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потужностей</w:t>
            </w:r>
            <w:proofErr w:type="spellEnd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060AA2" w:rsidRPr="00BD4CFE" w:rsidTr="00FA58CF">
        <w:trPr>
          <w:trHeight w:val="546"/>
        </w:trPr>
        <w:tc>
          <w:tcPr>
            <w:tcW w:w="290" w:type="pct"/>
          </w:tcPr>
          <w:p w:rsidR="00060AA2" w:rsidRDefault="009213C9" w:rsidP="00FA58C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710" w:type="pct"/>
          </w:tcPr>
          <w:p w:rsidR="00060AA2" w:rsidRDefault="004C4374" w:rsidP="000E7242">
            <w:pPr>
              <w:jc w:val="both"/>
            </w:pPr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Критерії та схеми з оцінки ризику та категоризації </w:t>
            </w:r>
            <w:proofErr w:type="spellStart"/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потужностей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060AA2" w:rsidRPr="00BD4CFE" w:rsidTr="00FA58CF">
        <w:trPr>
          <w:trHeight w:val="546"/>
        </w:trPr>
        <w:tc>
          <w:tcPr>
            <w:tcW w:w="290" w:type="pct"/>
          </w:tcPr>
          <w:p w:rsidR="00060AA2" w:rsidRDefault="009213C9" w:rsidP="00FA58CF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710" w:type="pct"/>
          </w:tcPr>
          <w:p w:rsidR="00060AA2" w:rsidRDefault="004C4374" w:rsidP="000E7242">
            <w:pPr>
              <w:jc w:val="both"/>
            </w:pPr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Концепції та підходи з проведення інспекцій харчових продуктів, заснованих на ризику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290467" w:rsidRPr="00685E2D" w:rsidRDefault="00290467" w:rsidP="002904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90467" w:rsidRPr="004A3C74" w:rsidRDefault="00290467" w:rsidP="00D13AE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9051"/>
      </w:tblGrid>
      <w:tr w:rsidR="00532305" w:rsidRPr="00685E2D" w:rsidTr="00FA58CF">
        <w:tc>
          <w:tcPr>
            <w:tcW w:w="431" w:type="pct"/>
            <w:shd w:val="clear" w:color="auto" w:fill="auto"/>
          </w:tcPr>
          <w:p w:rsidR="00532305" w:rsidRPr="00685E2D" w:rsidRDefault="00532305" w:rsidP="00902F7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69" w:type="pct"/>
            <w:shd w:val="clear" w:color="auto" w:fill="auto"/>
          </w:tcPr>
          <w:p w:rsidR="00532305" w:rsidRPr="00685E2D" w:rsidRDefault="00533F45" w:rsidP="004C43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Теми </w:t>
            </w:r>
            <w:r w:rsidR="004C43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лаборатор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них</w:t>
            </w:r>
            <w:r w:rsidR="005323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занять</w:t>
            </w:r>
          </w:p>
        </w:tc>
      </w:tr>
      <w:tr w:rsidR="00532305" w:rsidRPr="008D478B" w:rsidTr="00FA58CF">
        <w:tc>
          <w:tcPr>
            <w:tcW w:w="431" w:type="pct"/>
            <w:shd w:val="clear" w:color="auto" w:fill="auto"/>
          </w:tcPr>
          <w:p w:rsidR="00532305" w:rsidRPr="00685E2D" w:rsidRDefault="00532305" w:rsidP="00FA58CF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85E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69" w:type="pct"/>
            <w:shd w:val="clear" w:color="auto" w:fill="auto"/>
          </w:tcPr>
          <w:p w:rsidR="00532305" w:rsidRPr="00685E2D" w:rsidRDefault="004C4374" w:rsidP="00176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4C4374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Законодавство України щодо здійснення державного контролю. Державний контроль. Його види. Процедури здійснення державного контролю.</w:t>
            </w:r>
          </w:p>
        </w:tc>
      </w:tr>
      <w:tr w:rsidR="00532305" w:rsidRPr="004C4374" w:rsidTr="00FA58CF">
        <w:tc>
          <w:tcPr>
            <w:tcW w:w="431" w:type="pct"/>
            <w:shd w:val="clear" w:color="auto" w:fill="auto"/>
          </w:tcPr>
          <w:p w:rsidR="00532305" w:rsidRPr="00685E2D" w:rsidRDefault="00532305" w:rsidP="00FA5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85E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69" w:type="pct"/>
            <w:shd w:val="clear" w:color="auto" w:fill="auto"/>
          </w:tcPr>
          <w:p w:rsidR="00532305" w:rsidRPr="00505623" w:rsidRDefault="004C4374" w:rsidP="002E4C2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Законодавство ЄС. Основні положення Регламенту ЄС 882/2004 “Про офіційний контроль, здійснюваний з метою забезпечення перевірок </w:t>
            </w:r>
            <w:r w:rsidRPr="004C437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відповідності законодавству щодо харчових продуктів та кормів, та правил щодо охорони здоров’я та добробуту тварин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32305" w:rsidRPr="00685E2D" w:rsidTr="00FA58CF">
        <w:tc>
          <w:tcPr>
            <w:tcW w:w="431" w:type="pct"/>
            <w:shd w:val="clear" w:color="auto" w:fill="auto"/>
          </w:tcPr>
          <w:p w:rsidR="00532305" w:rsidRPr="00685E2D" w:rsidRDefault="00532305" w:rsidP="00FA5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85E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4569" w:type="pct"/>
            <w:shd w:val="clear" w:color="auto" w:fill="auto"/>
          </w:tcPr>
          <w:p w:rsidR="00532305" w:rsidRPr="004C4374" w:rsidRDefault="004C4374" w:rsidP="000423C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7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Засади та порядок здійснення державного контролю. </w:t>
            </w:r>
            <w:proofErr w:type="spellStart"/>
            <w:r w:rsidRPr="004C4374">
              <w:rPr>
                <w:rFonts w:ascii="Times New Roman" w:hAnsi="Times New Roman"/>
                <w:sz w:val="28"/>
                <w:szCs w:val="28"/>
              </w:rPr>
              <w:t>Повноваження</w:t>
            </w:r>
            <w:proofErr w:type="spellEnd"/>
            <w:r w:rsidRPr="004C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права та обов’язки </w:t>
            </w:r>
            <w:proofErr w:type="spellStart"/>
            <w:r w:rsidRPr="004C4374">
              <w:rPr>
                <w:rFonts w:ascii="Times New Roman" w:hAnsi="Times New Roman"/>
                <w:sz w:val="28"/>
                <w:szCs w:val="28"/>
              </w:rPr>
              <w:t>державних</w:t>
            </w:r>
            <w:proofErr w:type="spellEnd"/>
            <w:r w:rsidRPr="004C4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374">
              <w:rPr>
                <w:rFonts w:ascii="Times New Roman" w:hAnsi="Times New Roman"/>
                <w:sz w:val="28"/>
                <w:szCs w:val="28"/>
              </w:rPr>
              <w:t>інспекторів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32305" w:rsidRPr="00685E2D" w:rsidTr="00FA58CF">
        <w:tc>
          <w:tcPr>
            <w:tcW w:w="431" w:type="pct"/>
            <w:shd w:val="clear" w:color="auto" w:fill="auto"/>
          </w:tcPr>
          <w:p w:rsidR="00532305" w:rsidRPr="00685E2D" w:rsidRDefault="00532305" w:rsidP="00FA5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85E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69" w:type="pct"/>
            <w:shd w:val="clear" w:color="auto" w:fill="auto"/>
          </w:tcPr>
          <w:p w:rsidR="00532305" w:rsidRPr="00505623" w:rsidRDefault="004C4374" w:rsidP="00861AD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7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Плани державного контролю. Види, порядок затвердження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532305" w:rsidRPr="00685E2D" w:rsidTr="00FA58CF">
        <w:tc>
          <w:tcPr>
            <w:tcW w:w="431" w:type="pct"/>
            <w:shd w:val="clear" w:color="auto" w:fill="auto"/>
          </w:tcPr>
          <w:p w:rsidR="00532305" w:rsidRPr="00685E2D" w:rsidRDefault="00532305" w:rsidP="00FA5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85E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69" w:type="pct"/>
            <w:shd w:val="clear" w:color="auto" w:fill="auto"/>
          </w:tcPr>
          <w:p w:rsidR="00532305" w:rsidRPr="004C4374" w:rsidRDefault="004C4374" w:rsidP="00861AD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4374">
              <w:rPr>
                <w:rFonts w:ascii="Times New Roman" w:hAnsi="Times New Roman"/>
                <w:sz w:val="28"/>
                <w:szCs w:val="28"/>
              </w:rPr>
              <w:t xml:space="preserve">Права </w:t>
            </w:r>
            <w:r w:rsidRPr="004C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обов’язки </w:t>
            </w:r>
            <w:proofErr w:type="spellStart"/>
            <w:r w:rsidRPr="004C4374">
              <w:rPr>
                <w:rFonts w:ascii="Times New Roman" w:hAnsi="Times New Roman"/>
                <w:sz w:val="28"/>
                <w:szCs w:val="28"/>
              </w:rPr>
              <w:t>операторів</w:t>
            </w:r>
            <w:proofErr w:type="spellEnd"/>
            <w:r w:rsidRPr="004C4374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  <w:r w:rsidRPr="004C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щодо </w:t>
            </w:r>
            <w:proofErr w:type="spellStart"/>
            <w:r w:rsidRPr="004C4374"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 w:rsidRPr="004C4374">
              <w:rPr>
                <w:rFonts w:ascii="Times New Roman" w:hAnsi="Times New Roman"/>
                <w:sz w:val="28"/>
                <w:szCs w:val="28"/>
              </w:rPr>
              <w:t xml:space="preserve"> державного контролю </w:t>
            </w:r>
            <w:proofErr w:type="spellStart"/>
            <w:r w:rsidRPr="004C4374">
              <w:rPr>
                <w:rFonts w:ascii="Times New Roman" w:hAnsi="Times New Roman"/>
                <w:sz w:val="28"/>
                <w:szCs w:val="28"/>
              </w:rPr>
              <w:t>потужностей</w:t>
            </w:r>
            <w:proofErr w:type="spellEnd"/>
            <w:r w:rsidRPr="004C4374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C4374">
              <w:rPr>
                <w:rFonts w:ascii="Times New Roman" w:hAnsi="Times New Roman"/>
                <w:sz w:val="28"/>
                <w:szCs w:val="28"/>
              </w:rPr>
              <w:t>об’єктів</w:t>
            </w:r>
            <w:proofErr w:type="spellEnd"/>
            <w:r w:rsidRPr="004C4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374">
              <w:rPr>
                <w:rFonts w:ascii="Times New Roman" w:hAnsi="Times New Roman"/>
                <w:sz w:val="28"/>
                <w:szCs w:val="28"/>
              </w:rPr>
              <w:t>санітарних</w:t>
            </w:r>
            <w:proofErr w:type="spellEnd"/>
            <w:r w:rsidRPr="004C43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4374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32305" w:rsidRPr="00F644AD" w:rsidTr="00FA58CF">
        <w:trPr>
          <w:trHeight w:val="391"/>
        </w:trPr>
        <w:tc>
          <w:tcPr>
            <w:tcW w:w="431" w:type="pct"/>
            <w:shd w:val="clear" w:color="auto" w:fill="auto"/>
          </w:tcPr>
          <w:p w:rsidR="00532305" w:rsidRPr="00685E2D" w:rsidRDefault="00532305" w:rsidP="00FA5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85E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69" w:type="pct"/>
            <w:shd w:val="clear" w:color="auto" w:fill="auto"/>
          </w:tcPr>
          <w:p w:rsidR="00532305" w:rsidRPr="00505623" w:rsidRDefault="00F644AD" w:rsidP="00655B02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44AD">
              <w:rPr>
                <w:rFonts w:ascii="Times New Roman" w:hAnsi="Times New Roman"/>
                <w:sz w:val="28"/>
                <w:szCs w:val="28"/>
                <w:lang w:val="uk-UA"/>
              </w:rPr>
              <w:t>Дозвільні документи,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644AD">
              <w:rPr>
                <w:rFonts w:ascii="Times New Roman" w:hAnsi="Times New Roman"/>
                <w:sz w:val="28"/>
                <w:szCs w:val="28"/>
                <w:lang w:val="uk-UA"/>
              </w:rPr>
              <w:t>які отримують оператори ринку, що провадять діяльність, пов’язану з виробництвом та/або зберіганням харчових продуктів тваринного походження. Порядок видачі, тимчасове припинення та поновлення дії експлуатаційного дозволу.</w:t>
            </w:r>
          </w:p>
        </w:tc>
      </w:tr>
      <w:tr w:rsidR="00532305" w:rsidRPr="00685E2D" w:rsidTr="00FA58CF">
        <w:tc>
          <w:tcPr>
            <w:tcW w:w="431" w:type="pct"/>
            <w:shd w:val="clear" w:color="auto" w:fill="auto"/>
          </w:tcPr>
          <w:p w:rsidR="00532305" w:rsidRPr="00685E2D" w:rsidRDefault="00532305" w:rsidP="00FA5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69" w:type="pct"/>
            <w:shd w:val="clear" w:color="auto" w:fill="auto"/>
          </w:tcPr>
          <w:p w:rsidR="00532305" w:rsidRPr="00685E2D" w:rsidRDefault="00F644AD" w:rsidP="002E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Державна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реєстрація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потужностей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32305" w:rsidRPr="00685E2D" w:rsidTr="00FA58CF">
        <w:tc>
          <w:tcPr>
            <w:tcW w:w="431" w:type="pct"/>
            <w:shd w:val="clear" w:color="auto" w:fill="auto"/>
          </w:tcPr>
          <w:p w:rsidR="00532305" w:rsidRPr="00685E2D" w:rsidRDefault="00532305" w:rsidP="00FA5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569" w:type="pct"/>
            <w:shd w:val="clear" w:color="auto" w:fill="auto"/>
          </w:tcPr>
          <w:p w:rsidR="00532305" w:rsidRPr="000F7440" w:rsidRDefault="00F644AD" w:rsidP="002E4C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644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Концепції та підходи з проведення інспекцій харчових продуктів, заснованих на ризику</w:t>
            </w:r>
            <w:r w:rsidR="00227D4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27D4A" w:rsidRPr="00685E2D" w:rsidTr="00FA58CF">
        <w:tc>
          <w:tcPr>
            <w:tcW w:w="431" w:type="pct"/>
            <w:shd w:val="clear" w:color="auto" w:fill="auto"/>
          </w:tcPr>
          <w:p w:rsidR="00227D4A" w:rsidRPr="00685E2D" w:rsidRDefault="00227D4A" w:rsidP="00FA5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569" w:type="pct"/>
            <w:shd w:val="clear" w:color="auto" w:fill="auto"/>
          </w:tcPr>
          <w:p w:rsidR="00227D4A" w:rsidRPr="000F7440" w:rsidRDefault="00F644AD" w:rsidP="00227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644A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Проведення інспекцій</w:t>
            </w:r>
            <w:r w:rsidRPr="00F644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потужностей</w:t>
            </w:r>
            <w:proofErr w:type="spellEnd"/>
            <w:r w:rsidRPr="00F644A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операторів ринку харчових продуктів, заснованих на ризику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227D4A" w:rsidRPr="00685E2D" w:rsidTr="00FA58CF">
        <w:tc>
          <w:tcPr>
            <w:tcW w:w="431" w:type="pct"/>
            <w:shd w:val="clear" w:color="auto" w:fill="auto"/>
          </w:tcPr>
          <w:p w:rsidR="00227D4A" w:rsidRDefault="00227D4A" w:rsidP="00FA5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569" w:type="pct"/>
            <w:shd w:val="clear" w:color="auto" w:fill="auto"/>
          </w:tcPr>
          <w:p w:rsidR="00227D4A" w:rsidRPr="00685E2D" w:rsidRDefault="00F644AD" w:rsidP="00227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644A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Державний контроль</w:t>
            </w:r>
            <w:r w:rsidRPr="00F644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644AD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дотримання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оператор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ами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ринку,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здійснюють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первинне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виробництво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ведення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записів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безпечності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харчових</w:t>
            </w:r>
            <w:proofErr w:type="spellEnd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44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продуктів</w:t>
            </w:r>
            <w:bookmarkStart w:id="0" w:name="_GoBack"/>
            <w:bookmarkEnd w:id="0"/>
            <w:proofErr w:type="spellEnd"/>
            <w:r w:rsidR="00870C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7A1DC5" w:rsidRDefault="007A1DC5" w:rsidP="00FA58CF">
      <w:pPr>
        <w:spacing w:after="0" w:line="240" w:lineRule="auto"/>
      </w:pPr>
    </w:p>
    <w:sectPr w:rsidR="007A1D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A03C4"/>
    <w:multiLevelType w:val="hybridMultilevel"/>
    <w:tmpl w:val="2F5A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D0414"/>
    <w:multiLevelType w:val="multilevel"/>
    <w:tmpl w:val="6342380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67"/>
    <w:rsid w:val="00000E39"/>
    <w:rsid w:val="000044E0"/>
    <w:rsid w:val="000423C4"/>
    <w:rsid w:val="00060AA2"/>
    <w:rsid w:val="00062801"/>
    <w:rsid w:val="000C7EC0"/>
    <w:rsid w:val="000D074C"/>
    <w:rsid w:val="000E7242"/>
    <w:rsid w:val="000F7440"/>
    <w:rsid w:val="001162CF"/>
    <w:rsid w:val="00156301"/>
    <w:rsid w:val="00176D76"/>
    <w:rsid w:val="00177A8A"/>
    <w:rsid w:val="001C1A5C"/>
    <w:rsid w:val="00227D4A"/>
    <w:rsid w:val="00290467"/>
    <w:rsid w:val="002E4C25"/>
    <w:rsid w:val="003F10E2"/>
    <w:rsid w:val="00425EB8"/>
    <w:rsid w:val="00444581"/>
    <w:rsid w:val="004912C5"/>
    <w:rsid w:val="0049601A"/>
    <w:rsid w:val="004A4BEE"/>
    <w:rsid w:val="004C4374"/>
    <w:rsid w:val="004C7ED4"/>
    <w:rsid w:val="004D12EC"/>
    <w:rsid w:val="0050552D"/>
    <w:rsid w:val="005070B1"/>
    <w:rsid w:val="00532305"/>
    <w:rsid w:val="00533F45"/>
    <w:rsid w:val="00583AD3"/>
    <w:rsid w:val="006107AD"/>
    <w:rsid w:val="00653E15"/>
    <w:rsid w:val="00655A2B"/>
    <w:rsid w:val="00655B02"/>
    <w:rsid w:val="00724789"/>
    <w:rsid w:val="007778E4"/>
    <w:rsid w:val="00791437"/>
    <w:rsid w:val="007A1DC5"/>
    <w:rsid w:val="007D554C"/>
    <w:rsid w:val="008037DD"/>
    <w:rsid w:val="00805824"/>
    <w:rsid w:val="00861AD1"/>
    <w:rsid w:val="00870C81"/>
    <w:rsid w:val="008D478B"/>
    <w:rsid w:val="008E171C"/>
    <w:rsid w:val="008F1B77"/>
    <w:rsid w:val="009213C9"/>
    <w:rsid w:val="0094262D"/>
    <w:rsid w:val="009878D2"/>
    <w:rsid w:val="00995353"/>
    <w:rsid w:val="009F1038"/>
    <w:rsid w:val="00A65CF2"/>
    <w:rsid w:val="00A96E5F"/>
    <w:rsid w:val="00A97917"/>
    <w:rsid w:val="00AC1934"/>
    <w:rsid w:val="00AD7856"/>
    <w:rsid w:val="00AE7C8E"/>
    <w:rsid w:val="00BD233C"/>
    <w:rsid w:val="00BD4CFE"/>
    <w:rsid w:val="00C67B4B"/>
    <w:rsid w:val="00CB077F"/>
    <w:rsid w:val="00D00336"/>
    <w:rsid w:val="00D13AE1"/>
    <w:rsid w:val="00D84973"/>
    <w:rsid w:val="00D937A8"/>
    <w:rsid w:val="00DF1190"/>
    <w:rsid w:val="00E12F13"/>
    <w:rsid w:val="00ED2C02"/>
    <w:rsid w:val="00EE13A5"/>
    <w:rsid w:val="00F644AD"/>
    <w:rsid w:val="00FA58CF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1F250-7781-4B71-A795-38FB02A8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67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29046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046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List Paragraph"/>
    <w:basedOn w:val="a"/>
    <w:qFormat/>
    <w:rsid w:val="002904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customStyle="1" w:styleId="rvps6">
    <w:name w:val="rvps6"/>
    <w:basedOn w:val="a"/>
    <w:rsid w:val="002904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2904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 ааа</dc:creator>
  <cp:keywords/>
  <dc:description/>
  <cp:lastModifiedBy>Учетная запись Майкрософт</cp:lastModifiedBy>
  <cp:revision>72</cp:revision>
  <dcterms:created xsi:type="dcterms:W3CDTF">2020-01-29T09:04:00Z</dcterms:created>
  <dcterms:modified xsi:type="dcterms:W3CDTF">2020-08-04T09:34:00Z</dcterms:modified>
</cp:coreProperties>
</file>