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67" w:rsidRDefault="00BC4D1A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РИЗ</w:t>
      </w:r>
      <w:r w:rsidRPr="00BC4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ИК-ОРІЄНТОВАНИЙ КОНТРОЛЬ ПОТУЖНОСТЕЙ</w:t>
      </w:r>
    </w:p>
    <w:p w:rsidR="00D84973" w:rsidRDefault="000044E0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Кафедра ветеринарної </w:t>
      </w:r>
      <w:r w:rsidR="00D84973" w:rsidRP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гігієни </w:t>
      </w:r>
      <w:r w:rsid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ім. професора А.К. </w:t>
      </w:r>
      <w:proofErr w:type="spellStart"/>
      <w:r w:rsid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Скороходька</w:t>
      </w:r>
      <w:proofErr w:type="spellEnd"/>
    </w:p>
    <w:p w:rsidR="00D84973" w:rsidRDefault="00D84973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497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Факультет ветеринарної медицини</w:t>
      </w:r>
    </w:p>
    <w:p w:rsidR="0099535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95353" w:rsidRPr="00E12F13" w:rsidRDefault="00995353" w:rsidP="00E12F1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>Лектор –</w:t>
      </w:r>
      <w:r w:rsidR="00E12F13"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проф.</w:t>
      </w: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C4D1A">
        <w:rPr>
          <w:rFonts w:ascii="Times New Roman" w:eastAsia="Times New Roman" w:hAnsi="Times New Roman"/>
          <w:sz w:val="28"/>
          <w:szCs w:val="28"/>
          <w:lang w:val="uk-UA" w:eastAsia="ru-RU"/>
        </w:rPr>
        <w:t>Якубчак</w:t>
      </w:r>
      <w:proofErr w:type="spellEnd"/>
      <w:r w:rsid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Семестр: 2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-науковий ступінь</w:t>
      </w:r>
      <w:r w:rsidRPr="00E12F1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доктор філософії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кредитів (ЄКТС) – 5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12F13">
        <w:rPr>
          <w:rFonts w:ascii="Times New Roman" w:hAnsi="Times New Roman"/>
          <w:sz w:val="28"/>
          <w:szCs w:val="28"/>
          <w:lang w:val="uk-UA"/>
        </w:rPr>
        <w:t>Ф</w:t>
      </w:r>
      <w:r w:rsidR="004A4BEE">
        <w:rPr>
          <w:rFonts w:ascii="Times New Roman" w:hAnsi="Times New Roman"/>
          <w:sz w:val="28"/>
          <w:szCs w:val="28"/>
          <w:lang w:val="uk-UA"/>
        </w:rPr>
        <w:t>о</w:t>
      </w:r>
      <w:r w:rsidRPr="00E12F13">
        <w:rPr>
          <w:rFonts w:ascii="Times New Roman" w:hAnsi="Times New Roman"/>
          <w:sz w:val="28"/>
          <w:szCs w:val="28"/>
          <w:lang w:val="uk-UA"/>
        </w:rPr>
        <w:t>рма контролю – Екзамен</w:t>
      </w:r>
    </w:p>
    <w:p w:rsidR="00E12F13" w:rsidRPr="001B5C13" w:rsidRDefault="00E12F13" w:rsidP="00E12F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12F13">
        <w:rPr>
          <w:rFonts w:ascii="Times New Roman" w:hAnsi="Times New Roman"/>
          <w:sz w:val="28"/>
          <w:szCs w:val="28"/>
          <w:lang w:val="uk-UA"/>
        </w:rPr>
        <w:t xml:space="preserve">Аудиторні години – </w:t>
      </w:r>
      <w:r w:rsidR="00000E39">
        <w:rPr>
          <w:rFonts w:ascii="Times New Roman" w:hAnsi="Times New Roman"/>
          <w:sz w:val="28"/>
          <w:szCs w:val="28"/>
          <w:lang w:val="uk-UA"/>
        </w:rPr>
        <w:t>4</w:t>
      </w:r>
      <w:r w:rsidRPr="00E12F13">
        <w:rPr>
          <w:rFonts w:ascii="Times New Roman" w:hAnsi="Times New Roman"/>
          <w:sz w:val="28"/>
          <w:szCs w:val="28"/>
          <w:lang w:val="uk-UA"/>
        </w:rPr>
        <w:t>0</w:t>
      </w:r>
      <w:r w:rsidR="00000E39">
        <w:rPr>
          <w:rFonts w:ascii="Times New Roman" w:hAnsi="Times New Roman"/>
          <w:sz w:val="24"/>
          <w:szCs w:val="24"/>
          <w:lang w:val="uk-UA"/>
        </w:rPr>
        <w:t xml:space="preserve">  (20 год лекцій, 20</w:t>
      </w:r>
      <w:r w:rsidRPr="001B5C13">
        <w:rPr>
          <w:rFonts w:ascii="Times New Roman" w:hAnsi="Times New Roman"/>
          <w:sz w:val="24"/>
          <w:szCs w:val="24"/>
          <w:lang w:val="uk-UA"/>
        </w:rPr>
        <w:t xml:space="preserve"> год лабораторних занять)</w:t>
      </w:r>
    </w:p>
    <w:p w:rsidR="00E12F13" w:rsidRPr="0049601A" w:rsidRDefault="00E12F13" w:rsidP="00E12F13">
      <w:pPr>
        <w:rPr>
          <w:rFonts w:ascii="Times New Roman" w:hAnsi="Times New Roman"/>
          <w:sz w:val="28"/>
          <w:szCs w:val="28"/>
          <w:lang w:val="uk-UA"/>
        </w:rPr>
      </w:pPr>
    </w:p>
    <w:p w:rsidR="00E12F13" w:rsidRPr="0049601A" w:rsidRDefault="00E12F13" w:rsidP="00E12F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601A">
        <w:rPr>
          <w:rFonts w:ascii="Times New Roman" w:hAnsi="Times New Roman"/>
          <w:b/>
          <w:sz w:val="28"/>
          <w:szCs w:val="28"/>
          <w:lang w:val="uk-UA"/>
        </w:rPr>
        <w:t>Загальний опис дисципліни.</w:t>
      </w:r>
    </w:p>
    <w:p w:rsidR="00BC4D1A" w:rsidRPr="00BC4D1A" w:rsidRDefault="00BC4D1A" w:rsidP="00BC4D1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Дисципліна “Ризик-орієнтований контроль </w:t>
      </w:r>
      <w:proofErr w:type="spellStart"/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>потужностей</w:t>
      </w:r>
      <w:proofErr w:type="spellEnd"/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 вивчає підходи з аналізу ризику, концепції та підходи з проведення інспекцій операторів ринку харчових продуктів, заснованих на ризику, планування заходів державного контролю, критерії та схеми з оцінки ризику та категоризації </w:t>
      </w:r>
      <w:proofErr w:type="spellStart"/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>потужностей</w:t>
      </w:r>
      <w:proofErr w:type="spellEnd"/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>, міжнародні настанови та найкращі практики.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</w:t>
      </w:r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>абуття теоретичних і практичних навиків з аналізу ризиків, якісною та кількісною оцінкою ризиків і кваліфіковано узагальнювати процес аналізу ризиків.</w:t>
      </w:r>
    </w:p>
    <w:p w:rsidR="00BC4D1A" w:rsidRPr="00BC4D1A" w:rsidRDefault="00BC4D1A" w:rsidP="00BC4D1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Оволодіння теоретичними, методичними основами використання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кількісного числа</w:t>
      </w:r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зареєстрованих </w:t>
      </w:r>
      <w:proofErr w:type="spellStart"/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харчового походження, виявлення нових патогенних організмів та елементів, що підвищують ризик захворіти, </w:t>
      </w:r>
      <w:r w:rsidR="007D4DC5">
        <w:rPr>
          <w:rFonts w:ascii="Times New Roman" w:eastAsia="Times New Roman" w:hAnsi="Times New Roman"/>
          <w:sz w:val="28"/>
          <w:szCs w:val="28"/>
          <w:lang w:val="uk-UA" w:eastAsia="ru-RU"/>
        </w:rPr>
        <w:t>для вміння визначати</w:t>
      </w:r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системою контролю. </w:t>
      </w:r>
      <w:r w:rsidR="007D4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</w:t>
      </w:r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>таких систем для визначення пріоритетів щодо безпечності їжі, включно з розробкою нових та модифікованих процедур моніторингу ефе</w:t>
      </w:r>
      <w:r w:rsidR="007D4DC5">
        <w:rPr>
          <w:rFonts w:ascii="Times New Roman" w:eastAsia="Times New Roman" w:hAnsi="Times New Roman"/>
          <w:sz w:val="28"/>
          <w:szCs w:val="28"/>
          <w:lang w:val="uk-UA" w:eastAsia="ru-RU"/>
        </w:rPr>
        <w:t>ктивності програм, ідентифікації</w:t>
      </w:r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нових небезпечних факторів, навчання і підготовку тих, хто бере участь під час виробництва та обігу продуктів харчування, </w:t>
      </w:r>
      <w:r w:rsidR="007D4DC5">
        <w:rPr>
          <w:rFonts w:ascii="Times New Roman" w:eastAsia="Times New Roman" w:hAnsi="Times New Roman"/>
          <w:sz w:val="28"/>
          <w:szCs w:val="28"/>
          <w:lang w:val="uk-UA" w:eastAsia="ru-RU"/>
        </w:rPr>
        <w:t>зокрема,</w:t>
      </w:r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споживачів. Кожна система спостереження має свої недоліки і плюси, фокусується на різних аспектах дослідження </w:t>
      </w:r>
      <w:proofErr w:type="spellStart"/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BC4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харчового походження.</w:t>
      </w:r>
    </w:p>
    <w:p w:rsidR="00BC4D1A" w:rsidRPr="00BC4D1A" w:rsidRDefault="00BC4D1A" w:rsidP="00BC4D1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4C25" w:rsidRPr="00FD7846" w:rsidRDefault="002E4C25" w:rsidP="007D4DC5">
      <w:pPr>
        <w:spacing w:after="0" w:line="240" w:lineRule="auto"/>
        <w:ind w:firstLine="74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575"/>
        <w:gridCol w:w="9332"/>
      </w:tblGrid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Pr="00BD4CFE" w:rsidRDefault="00060AA2" w:rsidP="00060AA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10" w:type="pct"/>
          </w:tcPr>
          <w:p w:rsidR="00060AA2" w:rsidRPr="00BD4CFE" w:rsidRDefault="0094262D" w:rsidP="009426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D7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Теми лекцій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Pr="00BD4CFE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10" w:type="pct"/>
          </w:tcPr>
          <w:p w:rsidR="00060AA2" w:rsidRPr="007D4DC5" w:rsidRDefault="007D4DC5" w:rsidP="009426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Вступ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до</w:t>
            </w: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аналізу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ризиків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Аналіз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ризиків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задля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охорони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здоров'я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міжнародної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торгівлі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харчовими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продуктами)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10" w:type="pct"/>
          </w:tcPr>
          <w:p w:rsidR="00060AA2" w:rsidRPr="007D4DC5" w:rsidRDefault="007D4DC5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Сучасна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концепція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аналізу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ризиків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Загальне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поняття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небезпе</w:t>
            </w: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чні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фактори</w:t>
            </w: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ризики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10" w:type="pct"/>
          </w:tcPr>
          <w:p w:rsidR="00060AA2" w:rsidRPr="007D4DC5" w:rsidRDefault="007D4DC5" w:rsidP="00060AA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ризиками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принципи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процеси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первинні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заходи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710" w:type="pct"/>
          </w:tcPr>
          <w:p w:rsidR="00060AA2" w:rsidRDefault="007D4DC5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Підходи до технічного застосування та управління ризиками в гігієні харчових продуктів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10" w:type="pct"/>
          </w:tcPr>
          <w:p w:rsidR="00060AA2" w:rsidRDefault="007D4DC5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Проведення інспекцій </w:t>
            </w:r>
            <w:proofErr w:type="spellStart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потужностей</w:t>
            </w:r>
            <w:proofErr w:type="spellEnd"/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операторів ринку харчових продуктів, заснованих на ризику</w:t>
            </w:r>
            <w:r w:rsidR="00060AA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710" w:type="pct"/>
          </w:tcPr>
          <w:p w:rsidR="00060AA2" w:rsidRPr="00BD4CFE" w:rsidRDefault="007D4DC5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D4DC5">
              <w:rPr>
                <w:rFonts w:ascii="Times New Roman" w:hAnsi="Times New Roman"/>
                <w:sz w:val="28"/>
                <w:szCs w:val="28"/>
                <w:lang w:val="uk-UA"/>
              </w:rPr>
              <w:t>Вимоги чинних нормативно-правових актів до планування заходів державного контролю</w:t>
            </w:r>
            <w:r w:rsidR="00060A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10" w:type="pct"/>
          </w:tcPr>
          <w:p w:rsidR="00060AA2" w:rsidRPr="00BD4CFE" w:rsidRDefault="007D4DC5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Мета, базові критерії та етапи планування державного контролю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10" w:type="pct"/>
          </w:tcPr>
          <w:p w:rsidR="00060AA2" w:rsidRDefault="007D4DC5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Процедури контролю та відповідні форми</w:t>
            </w:r>
            <w:r w:rsidR="00060AA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10" w:type="pct"/>
          </w:tcPr>
          <w:p w:rsidR="00060AA2" w:rsidRDefault="007D4DC5" w:rsidP="000E7242">
            <w:pPr>
              <w:jc w:val="both"/>
            </w:pPr>
            <w:r w:rsidRPr="007D4D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Національний план контролю харчових продуктів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183E59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710" w:type="pct"/>
          </w:tcPr>
          <w:p w:rsidR="00060AA2" w:rsidRPr="00183E59" w:rsidRDefault="00183E59" w:rsidP="000E7242">
            <w:pPr>
              <w:jc w:val="both"/>
              <w:rPr>
                <w:lang w:val="uk-UA"/>
              </w:rPr>
            </w:pPr>
            <w:r w:rsidRPr="00183E5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Міжнародна діяльність щодо оцінки мікробіологічних ризиків.</w:t>
            </w:r>
          </w:p>
        </w:tc>
      </w:tr>
    </w:tbl>
    <w:p w:rsidR="00290467" w:rsidRPr="00685E2D" w:rsidRDefault="00290467" w:rsidP="002904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0467" w:rsidRPr="004A3C74" w:rsidRDefault="00290467" w:rsidP="00D13AE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4"/>
        <w:gridCol w:w="9051"/>
      </w:tblGrid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902F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9" w:type="pct"/>
            <w:shd w:val="clear" w:color="auto" w:fill="auto"/>
          </w:tcPr>
          <w:p w:rsidR="00532305" w:rsidRPr="00685E2D" w:rsidRDefault="00183E59" w:rsidP="00533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Теми лаборатор</w:t>
            </w:r>
            <w:r w:rsidR="00533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них</w:t>
            </w:r>
            <w:r w:rsidR="005323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занять</w:t>
            </w:r>
          </w:p>
        </w:tc>
      </w:tr>
      <w:tr w:rsidR="00532305" w:rsidRPr="008D478B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69" w:type="pct"/>
            <w:shd w:val="clear" w:color="auto" w:fill="auto"/>
          </w:tcPr>
          <w:p w:rsidR="00532305" w:rsidRPr="00685E2D" w:rsidRDefault="00183E59" w:rsidP="0017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хвороб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харчового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Контроль хвороб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харчового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83E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Емерджентні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харчові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хвороби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32305" w:rsidRPr="008D478B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183E59" w:rsidP="002E4C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Ідентифікація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небезпеки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r w:rsidRPr="00183E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складова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процес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  <w:lang w:val="uk-UA"/>
              </w:rPr>
              <w:t>у о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цінк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ризиком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ризик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Кореляція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етапів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ланцюгом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харчових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183E59" w:rsidP="000423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оцінки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ризиків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небезпеки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Характеристика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небезпеки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Характеристика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Документація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і повторна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183E59" w:rsidP="00861A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E59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мікробіологічних небезпечних чинників. Структурна схема оцінки мікробіологічних ризиків. Підсумок процесу оцінки мікробіологічних ризиків.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183E59" w:rsidP="00861A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мікробіологічних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методів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контролю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безпечності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харчових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Відбір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проб.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мікробіологічних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методів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безпечністю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305" w:rsidRPr="00685E2D" w:rsidTr="00FA58CF">
        <w:trPr>
          <w:trHeight w:val="391"/>
        </w:trPr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183E59" w:rsidP="00183E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E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Підходи до моделювання. Динамічні моделі росту.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обмеження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росту.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інактивації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виживання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>.</w:t>
            </w:r>
            <w:r w:rsidRPr="00183E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моделей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продукту,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гігієни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E59">
              <w:rPr>
                <w:rFonts w:ascii="Times New Roman" w:hAnsi="Times New Roman"/>
                <w:sz w:val="28"/>
                <w:szCs w:val="28"/>
              </w:rPr>
              <w:t>ризиків</w:t>
            </w:r>
            <w:proofErr w:type="spellEnd"/>
            <w:r w:rsidRPr="00183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69" w:type="pct"/>
            <w:shd w:val="clear" w:color="auto" w:fill="auto"/>
          </w:tcPr>
          <w:p w:rsidR="00532305" w:rsidRPr="00685E2D" w:rsidRDefault="00183E59" w:rsidP="002E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мікробіологічних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критеріїв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харчових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мікробіологічних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критеріїв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Мікробіологічні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аспекти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критеріїв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План,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методи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засоби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відбору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 і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звітування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4569" w:type="pct"/>
            <w:shd w:val="clear" w:color="auto" w:fill="auto"/>
          </w:tcPr>
          <w:p w:rsidR="00183E59" w:rsidRPr="00183E59" w:rsidRDefault="00183E59" w:rsidP="00183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E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Моделювання продукту, схема технологічного процесу.</w:t>
            </w:r>
          </w:p>
          <w:p w:rsidR="00532305" w:rsidRPr="000F7440" w:rsidRDefault="00183E59" w:rsidP="00183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E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Безпека засобів управління: правила організації виробництва і контролю, аналізу та оцінка ризиків. Виробництво продуктів. </w:t>
            </w:r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контролю.</w:t>
            </w:r>
          </w:p>
        </w:tc>
      </w:tr>
      <w:tr w:rsidR="00227D4A" w:rsidRPr="00685E2D" w:rsidTr="00FA58CF">
        <w:tc>
          <w:tcPr>
            <w:tcW w:w="431" w:type="pct"/>
            <w:shd w:val="clear" w:color="auto" w:fill="auto"/>
          </w:tcPr>
          <w:p w:rsidR="00227D4A" w:rsidRPr="00685E2D" w:rsidRDefault="00227D4A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69" w:type="pct"/>
            <w:shd w:val="clear" w:color="auto" w:fill="auto"/>
          </w:tcPr>
          <w:p w:rsidR="00227D4A" w:rsidRPr="000F7440" w:rsidRDefault="00183E59" w:rsidP="0022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Мікробіологічні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критерії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заходи контролю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гігієни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система НАССР.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операторів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ринку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харчових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Роль уряду /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уповноваженого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органу.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тенденцій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Перегляд та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мікробіологічних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критеріїв</w:t>
            </w:r>
            <w:proofErr w:type="spellEnd"/>
            <w:r w:rsidRPr="00183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7D4A" w:rsidRPr="00685E2D" w:rsidTr="00FA58CF">
        <w:tc>
          <w:tcPr>
            <w:tcW w:w="431" w:type="pct"/>
            <w:shd w:val="clear" w:color="auto" w:fill="auto"/>
          </w:tcPr>
          <w:p w:rsidR="00227D4A" w:rsidRDefault="00227D4A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69" w:type="pct"/>
            <w:shd w:val="clear" w:color="auto" w:fill="auto"/>
          </w:tcPr>
          <w:p w:rsidR="00227D4A" w:rsidRPr="00685E2D" w:rsidRDefault="00183E59" w:rsidP="00183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Умови мікробіологічного псування свіжого м’яса.</w:t>
            </w:r>
            <w:bookmarkStart w:id="0" w:name="_GoBack"/>
            <w:bookmarkEnd w:id="0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Псування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обумовлене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грамнегативними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молочнокислими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іншими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мікроорганізмами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Умови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мікробіологічного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псування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м'ясопродуктів</w:t>
            </w:r>
            <w:proofErr w:type="spellEnd"/>
            <w:r w:rsidRPr="00183E5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7A1DC5" w:rsidRDefault="007A1DC5" w:rsidP="00FA58CF">
      <w:pPr>
        <w:spacing w:after="0" w:line="240" w:lineRule="auto"/>
      </w:pPr>
    </w:p>
    <w:sectPr w:rsidR="007A1D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A03C4"/>
    <w:multiLevelType w:val="hybridMultilevel"/>
    <w:tmpl w:val="2F5A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0414"/>
    <w:multiLevelType w:val="multilevel"/>
    <w:tmpl w:val="634238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67"/>
    <w:rsid w:val="00000E39"/>
    <w:rsid w:val="000044E0"/>
    <w:rsid w:val="000423C4"/>
    <w:rsid w:val="00060AA2"/>
    <w:rsid w:val="00062801"/>
    <w:rsid w:val="000C7EC0"/>
    <w:rsid w:val="000D074C"/>
    <w:rsid w:val="000E7242"/>
    <w:rsid w:val="000F7440"/>
    <w:rsid w:val="001162CF"/>
    <w:rsid w:val="00156301"/>
    <w:rsid w:val="00176D76"/>
    <w:rsid w:val="00183E59"/>
    <w:rsid w:val="001C1A5C"/>
    <w:rsid w:val="00227D4A"/>
    <w:rsid w:val="00290467"/>
    <w:rsid w:val="002E4C25"/>
    <w:rsid w:val="003F10E2"/>
    <w:rsid w:val="00425EB8"/>
    <w:rsid w:val="00444581"/>
    <w:rsid w:val="004912C5"/>
    <w:rsid w:val="0049601A"/>
    <w:rsid w:val="004A4BEE"/>
    <w:rsid w:val="004D12EC"/>
    <w:rsid w:val="0050552D"/>
    <w:rsid w:val="005070B1"/>
    <w:rsid w:val="00532305"/>
    <w:rsid w:val="00533F45"/>
    <w:rsid w:val="00583AD3"/>
    <w:rsid w:val="006107AD"/>
    <w:rsid w:val="00653E15"/>
    <w:rsid w:val="00655A2B"/>
    <w:rsid w:val="00655B02"/>
    <w:rsid w:val="00724789"/>
    <w:rsid w:val="007778E4"/>
    <w:rsid w:val="00791437"/>
    <w:rsid w:val="007A1DC5"/>
    <w:rsid w:val="007D4DC5"/>
    <w:rsid w:val="007D554C"/>
    <w:rsid w:val="008037DD"/>
    <w:rsid w:val="00805824"/>
    <w:rsid w:val="00861AD1"/>
    <w:rsid w:val="00870C81"/>
    <w:rsid w:val="008D478B"/>
    <w:rsid w:val="008E171C"/>
    <w:rsid w:val="008F1B77"/>
    <w:rsid w:val="009213C9"/>
    <w:rsid w:val="0094262D"/>
    <w:rsid w:val="009878D2"/>
    <w:rsid w:val="00995353"/>
    <w:rsid w:val="009F1038"/>
    <w:rsid w:val="00A65CF2"/>
    <w:rsid w:val="00A96E5F"/>
    <w:rsid w:val="00A97917"/>
    <w:rsid w:val="00AC1934"/>
    <w:rsid w:val="00AD7856"/>
    <w:rsid w:val="00AE7C8E"/>
    <w:rsid w:val="00BC4D1A"/>
    <w:rsid w:val="00BD233C"/>
    <w:rsid w:val="00BD4CFE"/>
    <w:rsid w:val="00C67B4B"/>
    <w:rsid w:val="00CB077F"/>
    <w:rsid w:val="00D00336"/>
    <w:rsid w:val="00D13AE1"/>
    <w:rsid w:val="00D84973"/>
    <w:rsid w:val="00D937A8"/>
    <w:rsid w:val="00DF1190"/>
    <w:rsid w:val="00E12F13"/>
    <w:rsid w:val="00ED2C02"/>
    <w:rsid w:val="00EE13A5"/>
    <w:rsid w:val="00FA58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2C9C2-EE07-4C75-9852-FA8592A7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2904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4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904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rvps6">
    <w:name w:val="rvps6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445A-C82D-43FC-A9CF-EA0A4D44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 ааа</dc:creator>
  <cp:keywords/>
  <dc:description/>
  <cp:lastModifiedBy>Учетная запись Майкрософт</cp:lastModifiedBy>
  <cp:revision>72</cp:revision>
  <dcterms:created xsi:type="dcterms:W3CDTF">2020-01-29T09:04:00Z</dcterms:created>
  <dcterms:modified xsi:type="dcterms:W3CDTF">2020-08-04T08:56:00Z</dcterms:modified>
</cp:coreProperties>
</file>