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88FF" w14:textId="6135674D" w:rsidR="008C6B60" w:rsidRPr="00A76848" w:rsidRDefault="006557B0" w:rsidP="00A768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769532"/>
      <w:bookmarkStart w:id="1" w:name="_Hlk39768919"/>
      <w:r w:rsidRPr="00A76848">
        <w:rPr>
          <w:rFonts w:ascii="Times New Roman" w:hAnsi="Times New Roman" w:cs="Times New Roman"/>
          <w:b/>
          <w:sz w:val="24"/>
          <w:szCs w:val="24"/>
        </w:rPr>
        <w:t>Інформаційна безпека та екзистенціальне здоров’я</w:t>
      </w:r>
    </w:p>
    <w:p w14:paraId="4E6B5BDA" w14:textId="738E4487" w:rsidR="008C6B60" w:rsidRPr="00A76848" w:rsidRDefault="008C6B60" w:rsidP="00A768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48">
        <w:rPr>
          <w:rFonts w:ascii="Times New Roman" w:hAnsi="Times New Roman" w:cs="Times New Roman"/>
          <w:b/>
          <w:sz w:val="24"/>
          <w:szCs w:val="24"/>
        </w:rPr>
        <w:t>Кафедра філософії</w:t>
      </w:r>
      <w:r w:rsidR="00FB35A1">
        <w:rPr>
          <w:rFonts w:ascii="Times New Roman" w:hAnsi="Times New Roman" w:cs="Times New Roman"/>
          <w:b/>
          <w:sz w:val="24"/>
          <w:szCs w:val="24"/>
        </w:rPr>
        <w:t xml:space="preserve"> та міжнародної комунікації</w:t>
      </w:r>
    </w:p>
    <w:p w14:paraId="07AFA366" w14:textId="77777777" w:rsidR="008C6B60" w:rsidRPr="00A76848" w:rsidRDefault="008C6B60" w:rsidP="00A76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48">
        <w:rPr>
          <w:rFonts w:ascii="Times New Roman" w:hAnsi="Times New Roman" w:cs="Times New Roman"/>
          <w:b/>
          <w:sz w:val="24"/>
          <w:szCs w:val="24"/>
        </w:rPr>
        <w:t>Гуманітарно-педагогічний факультет</w:t>
      </w:r>
    </w:p>
    <w:p w14:paraId="781C346D" w14:textId="77777777" w:rsidR="008C6B60" w:rsidRPr="00A76848" w:rsidRDefault="008C6B60" w:rsidP="00A76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5766"/>
      </w:tblGrid>
      <w:tr w:rsidR="008C6B60" w:rsidRPr="00A76848" w14:paraId="292FE4D0" w14:textId="77777777" w:rsidTr="00974251">
        <w:trPr>
          <w:trHeight w:val="454"/>
        </w:trPr>
        <w:tc>
          <w:tcPr>
            <w:tcW w:w="3686" w:type="dxa"/>
          </w:tcPr>
          <w:p w14:paraId="6D143886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72661A0" w14:textId="77777777" w:rsidR="008C6B60" w:rsidRDefault="00974251" w:rsidP="00A7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 Володимир Федорович</w:t>
            </w:r>
          </w:p>
          <w:p w14:paraId="37ADFF82" w14:textId="3FFC087C" w:rsidR="00974251" w:rsidRPr="00A76848" w:rsidRDefault="00974251" w:rsidP="00A7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Супрун Аліна</w:t>
            </w:r>
            <w:r w:rsidR="007A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Григорівна</w:t>
            </w:r>
          </w:p>
        </w:tc>
      </w:tr>
      <w:tr w:rsidR="008C6B60" w:rsidRPr="00A76848" w14:paraId="1050D7D3" w14:textId="77777777" w:rsidTr="00922247">
        <w:trPr>
          <w:trHeight w:val="315"/>
        </w:trPr>
        <w:tc>
          <w:tcPr>
            <w:tcW w:w="3686" w:type="dxa"/>
            <w:vAlign w:val="center"/>
          </w:tcPr>
          <w:p w14:paraId="2D69B716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BA19152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8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C6B60" w:rsidRPr="00A76848" w14:paraId="08102A37" w14:textId="77777777" w:rsidTr="00922247">
        <w:trPr>
          <w:trHeight w:val="333"/>
        </w:trPr>
        <w:tc>
          <w:tcPr>
            <w:tcW w:w="3686" w:type="dxa"/>
            <w:vAlign w:val="center"/>
          </w:tcPr>
          <w:p w14:paraId="087475C0" w14:textId="01F47785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</w:t>
            </w: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ньо-науковий </w:t>
            </w: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ступінь</w:t>
            </w:r>
          </w:p>
        </w:tc>
        <w:tc>
          <w:tcPr>
            <w:tcW w:w="5943" w:type="dxa"/>
            <w:vAlign w:val="center"/>
          </w:tcPr>
          <w:p w14:paraId="76D5EDC9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</w:t>
            </w:r>
            <w:r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доктор філософії</w:t>
            </w:r>
          </w:p>
        </w:tc>
      </w:tr>
      <w:tr w:rsidR="008C6B60" w:rsidRPr="00A76848" w14:paraId="44A746F2" w14:textId="77777777" w:rsidTr="00922247">
        <w:trPr>
          <w:trHeight w:val="423"/>
        </w:trPr>
        <w:tc>
          <w:tcPr>
            <w:tcW w:w="3686" w:type="dxa"/>
            <w:vAlign w:val="center"/>
          </w:tcPr>
          <w:p w14:paraId="6F302C8F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62A6D13" w14:textId="3C46DB4B" w:rsidR="008C6B60" w:rsidRPr="00A76848" w:rsidRDefault="00E53B7A" w:rsidP="00A7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6B60" w:rsidRPr="00A76848" w14:paraId="63241955" w14:textId="77777777" w:rsidTr="00922247">
        <w:trPr>
          <w:trHeight w:val="341"/>
        </w:trPr>
        <w:tc>
          <w:tcPr>
            <w:tcW w:w="3686" w:type="dxa"/>
            <w:vAlign w:val="center"/>
          </w:tcPr>
          <w:p w14:paraId="605991F8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741D20D" w14:textId="05849121" w:rsidR="008C6B60" w:rsidRPr="00A76848" w:rsidRDefault="008C6B60" w:rsidP="00A7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8C6B60" w:rsidRPr="00A76848" w14:paraId="25238AA8" w14:textId="77777777" w:rsidTr="00922247">
        <w:trPr>
          <w:trHeight w:val="431"/>
        </w:trPr>
        <w:tc>
          <w:tcPr>
            <w:tcW w:w="3686" w:type="dxa"/>
            <w:vAlign w:val="center"/>
          </w:tcPr>
          <w:p w14:paraId="7AECBF32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A39C411" w14:textId="47E15CE9" w:rsidR="008C6B60" w:rsidRPr="00A76848" w:rsidRDefault="00FA6267" w:rsidP="00FA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6B60"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год лекцій, </w:t>
            </w:r>
            <w:r w:rsidR="008C6B60"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6B60"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семінарських занять)</w:t>
            </w:r>
          </w:p>
        </w:tc>
      </w:tr>
      <w:bookmarkEnd w:id="0"/>
    </w:tbl>
    <w:p w14:paraId="5F8B17A3" w14:textId="77777777" w:rsidR="008C6B60" w:rsidRPr="00A76848" w:rsidRDefault="008C6B60" w:rsidP="00A76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65B61" w14:textId="7731D9CA" w:rsidR="001D238F" w:rsidRPr="00A76848" w:rsidRDefault="008C6B60" w:rsidP="00A768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39769037"/>
      <w:bookmarkEnd w:id="1"/>
      <w:r w:rsidRPr="00A76848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bookmarkEnd w:id="2"/>
    <w:p w14:paraId="3739AE80" w14:textId="32DFBFD5" w:rsidR="006557B0" w:rsidRPr="00A76848" w:rsidRDefault="006557B0" w:rsidP="00A768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48">
        <w:rPr>
          <w:rFonts w:ascii="Times New Roman" w:hAnsi="Times New Roman" w:cs="Times New Roman"/>
          <w:sz w:val="24"/>
          <w:szCs w:val="24"/>
        </w:rPr>
        <w:t>Опанування змістовним наповненням</w:t>
      </w:r>
      <w:r w:rsidR="008C6B60" w:rsidRPr="00A76848">
        <w:rPr>
          <w:rFonts w:ascii="Times New Roman" w:hAnsi="Times New Roman" w:cs="Times New Roman"/>
          <w:sz w:val="24"/>
          <w:szCs w:val="24"/>
        </w:rPr>
        <w:t xml:space="preserve"> курсу «</w:t>
      </w:r>
      <w:r w:rsidRPr="00A76848">
        <w:rPr>
          <w:rFonts w:ascii="Times New Roman" w:hAnsi="Times New Roman" w:cs="Times New Roman"/>
          <w:sz w:val="24"/>
          <w:szCs w:val="24"/>
        </w:rPr>
        <w:t>Інформаційна безпека та екзистенціальне здоров’я</w:t>
      </w:r>
      <w:r w:rsidR="008C6B60" w:rsidRPr="00A76848">
        <w:rPr>
          <w:rFonts w:ascii="Times New Roman" w:hAnsi="Times New Roman" w:cs="Times New Roman"/>
          <w:sz w:val="24"/>
          <w:szCs w:val="24"/>
        </w:rPr>
        <w:t>»</w:t>
      </w:r>
      <w:r w:rsidRPr="00A76848">
        <w:rPr>
          <w:rFonts w:ascii="Times New Roman" w:hAnsi="Times New Roman" w:cs="Times New Roman"/>
          <w:sz w:val="24"/>
          <w:szCs w:val="24"/>
        </w:rPr>
        <w:t xml:space="preserve"> передбачає формування системного уявлення про поточну ситуацію, у якій перебуває сучасна спільнота та людина;</w:t>
      </w:r>
      <w:r w:rsidR="007716E9" w:rsidRPr="00A76848">
        <w:rPr>
          <w:rFonts w:ascii="Times New Roman" w:hAnsi="Times New Roman" w:cs="Times New Roman"/>
          <w:sz w:val="24"/>
          <w:szCs w:val="24"/>
        </w:rPr>
        <w:t xml:space="preserve"> про суть інформації, методи, способи та шляхи її донесення; про загрози і виклики інформаційного світу та методи і способи запобігання негативним впливам інфосфери; а також засвоєння низки компетенцій, котрі дозволять підвищити рівень соціальної мобільності та стресостійкості.</w:t>
      </w:r>
    </w:p>
    <w:p w14:paraId="4D0F4E63" w14:textId="53534BFF" w:rsidR="008F2C85" w:rsidRPr="00A76848" w:rsidRDefault="007716E9" w:rsidP="00A768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48">
        <w:rPr>
          <w:rFonts w:ascii="Times New Roman" w:hAnsi="Times New Roman" w:cs="Times New Roman"/>
          <w:sz w:val="24"/>
          <w:szCs w:val="24"/>
        </w:rPr>
        <w:t>Логіка побудови та інформаційне наповнення д</w:t>
      </w:r>
      <w:r w:rsidR="008C6B60" w:rsidRPr="00A76848">
        <w:rPr>
          <w:rFonts w:ascii="Times New Roman" w:hAnsi="Times New Roman" w:cs="Times New Roman"/>
          <w:sz w:val="24"/>
          <w:szCs w:val="24"/>
        </w:rPr>
        <w:t>исциплін</w:t>
      </w:r>
      <w:r w:rsidR="008F2C85" w:rsidRPr="00A76848">
        <w:rPr>
          <w:rFonts w:ascii="Times New Roman" w:hAnsi="Times New Roman" w:cs="Times New Roman"/>
          <w:sz w:val="24"/>
          <w:szCs w:val="24"/>
        </w:rPr>
        <w:t>и</w:t>
      </w:r>
      <w:r w:rsidR="008C6B60" w:rsidRPr="00A76848">
        <w:rPr>
          <w:rFonts w:ascii="Times New Roman" w:hAnsi="Times New Roman" w:cs="Times New Roman"/>
          <w:sz w:val="24"/>
          <w:szCs w:val="24"/>
        </w:rPr>
        <w:t xml:space="preserve"> «</w:t>
      </w:r>
      <w:r w:rsidRPr="00A76848">
        <w:rPr>
          <w:rFonts w:ascii="Times New Roman" w:hAnsi="Times New Roman" w:cs="Times New Roman"/>
          <w:sz w:val="24"/>
          <w:szCs w:val="24"/>
        </w:rPr>
        <w:t>Інформаційна безпека та екзистенціальне здоров’я</w:t>
      </w:r>
      <w:r w:rsidR="008C6B60" w:rsidRPr="00A76848">
        <w:rPr>
          <w:rFonts w:ascii="Times New Roman" w:hAnsi="Times New Roman" w:cs="Times New Roman"/>
          <w:sz w:val="24"/>
          <w:szCs w:val="24"/>
        </w:rPr>
        <w:t xml:space="preserve">» </w:t>
      </w:r>
      <w:r w:rsidR="008F2C85" w:rsidRPr="00A76848">
        <w:rPr>
          <w:rFonts w:ascii="Times New Roman" w:hAnsi="Times New Roman" w:cs="Times New Roman"/>
          <w:sz w:val="24"/>
          <w:szCs w:val="24"/>
        </w:rPr>
        <w:t>спирається на дослідницькі здобутки у окремих науко-пошукових напрямах соціальної філософії, соціального управління, міжнародної інформації, безпеки життєдіяльності людини, гносеології, культурології та інших.</w:t>
      </w:r>
    </w:p>
    <w:p w14:paraId="4CE1F22D" w14:textId="36190ADC" w:rsidR="008F2C85" w:rsidRPr="00A76848" w:rsidRDefault="008C6B60" w:rsidP="00A7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48">
        <w:rPr>
          <w:rFonts w:ascii="Times New Roman" w:hAnsi="Times New Roman" w:cs="Times New Roman"/>
          <w:sz w:val="24"/>
          <w:szCs w:val="24"/>
        </w:rPr>
        <w:t>Мета дисципліни «</w:t>
      </w:r>
      <w:r w:rsidR="008F2C85" w:rsidRPr="00A76848">
        <w:rPr>
          <w:rFonts w:ascii="Times New Roman" w:hAnsi="Times New Roman" w:cs="Times New Roman"/>
          <w:sz w:val="24"/>
          <w:szCs w:val="24"/>
        </w:rPr>
        <w:t>Інформаційна безпека та екзистенціальне здоров’я</w:t>
      </w:r>
      <w:r w:rsidRPr="00A76848">
        <w:rPr>
          <w:rFonts w:ascii="Times New Roman" w:hAnsi="Times New Roman" w:cs="Times New Roman"/>
          <w:sz w:val="24"/>
          <w:szCs w:val="24"/>
        </w:rPr>
        <w:t xml:space="preserve">» </w:t>
      </w:r>
      <w:r w:rsidR="008F2C85" w:rsidRPr="00A76848">
        <w:rPr>
          <w:rFonts w:ascii="Times New Roman" w:hAnsi="Times New Roman" w:cs="Times New Roman"/>
          <w:sz w:val="24"/>
          <w:szCs w:val="24"/>
        </w:rPr>
        <w:t>полягає у наданні здобувачу освітніх послуг базису, необхідного і достатнього для орієнтування в інформаційному просторі таким чином, щоб</w:t>
      </w:r>
      <w:r w:rsidR="00922247" w:rsidRPr="00A76848">
        <w:rPr>
          <w:rFonts w:ascii="Times New Roman" w:hAnsi="Times New Roman" w:cs="Times New Roman"/>
          <w:sz w:val="24"/>
          <w:szCs w:val="24"/>
        </w:rPr>
        <w:t>, по-перше, ефективно користуватися комуніка</w:t>
      </w:r>
      <w:r w:rsidR="00014C9E">
        <w:rPr>
          <w:rFonts w:ascii="Times New Roman" w:hAnsi="Times New Roman" w:cs="Times New Roman"/>
          <w:sz w:val="24"/>
          <w:szCs w:val="24"/>
        </w:rPr>
        <w:t>тив</w:t>
      </w:r>
      <w:r w:rsidR="00922247" w:rsidRPr="00A76848">
        <w:rPr>
          <w:rFonts w:ascii="Times New Roman" w:hAnsi="Times New Roman" w:cs="Times New Roman"/>
          <w:sz w:val="24"/>
          <w:szCs w:val="24"/>
        </w:rPr>
        <w:t xml:space="preserve">но-інформаційними набутками інформаційного суспільства, по-друге, </w:t>
      </w:r>
      <w:r w:rsidR="008F2C85" w:rsidRPr="00A76848">
        <w:rPr>
          <w:rFonts w:ascii="Times New Roman" w:hAnsi="Times New Roman" w:cs="Times New Roman"/>
          <w:sz w:val="24"/>
          <w:szCs w:val="24"/>
        </w:rPr>
        <w:t xml:space="preserve">підтримувати стан внутрішньої рівноваги попри </w:t>
      </w:r>
      <w:r w:rsidR="00922247" w:rsidRPr="00A76848">
        <w:rPr>
          <w:rFonts w:ascii="Times New Roman" w:hAnsi="Times New Roman" w:cs="Times New Roman"/>
          <w:sz w:val="24"/>
          <w:szCs w:val="24"/>
        </w:rPr>
        <w:t>інформаційний тиск та інформаційні збурення.</w:t>
      </w:r>
    </w:p>
    <w:p w14:paraId="1637AD13" w14:textId="77777777" w:rsidR="008F2C85" w:rsidRPr="00A76848" w:rsidRDefault="008F2C85" w:rsidP="00A7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B6B156" w14:textId="77777777" w:rsidR="008C6B60" w:rsidRPr="00A76848" w:rsidRDefault="008C6B60" w:rsidP="00A768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39769078"/>
      <w:r w:rsidRPr="00A76848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bookmarkEnd w:id="3"/>
    <w:p w14:paraId="69F188EF" w14:textId="1B058CFD" w:rsidR="008C6B60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8C6B60" w:rsidRPr="00A22743">
        <w:rPr>
          <w:rFonts w:ascii="Times New Roman" w:hAnsi="Times New Roman" w:cs="Times New Roman"/>
          <w:b/>
          <w:sz w:val="24"/>
          <w:szCs w:val="24"/>
        </w:rPr>
        <w:t>1.</w:t>
      </w:r>
      <w:r w:rsidR="008C6B60" w:rsidRPr="00A22743">
        <w:rPr>
          <w:rFonts w:ascii="Times New Roman" w:hAnsi="Times New Roman" w:cs="Times New Roman"/>
          <w:sz w:val="24"/>
          <w:szCs w:val="24"/>
        </w:rPr>
        <w:t xml:space="preserve"> </w:t>
      </w:r>
      <w:r w:rsidR="00B619AE" w:rsidRPr="00A22743">
        <w:rPr>
          <w:rFonts w:ascii="Times New Roman" w:hAnsi="Times New Roman" w:cs="Times New Roman"/>
          <w:sz w:val="24"/>
          <w:szCs w:val="24"/>
        </w:rPr>
        <w:t>Інформація, її різновиди, властивості, місце і рол</w:t>
      </w:r>
      <w:r w:rsidRPr="00A22743">
        <w:rPr>
          <w:rFonts w:ascii="Times New Roman" w:hAnsi="Times New Roman" w:cs="Times New Roman"/>
          <w:sz w:val="24"/>
          <w:szCs w:val="24"/>
        </w:rPr>
        <w:t>ь в бутті людини та суспільства</w:t>
      </w:r>
    </w:p>
    <w:p w14:paraId="30D6A672" w14:textId="03C980C4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2.</w:t>
      </w:r>
      <w:r w:rsidR="00B619AE" w:rsidRPr="00A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08" w:rsidRPr="00A22743">
        <w:rPr>
          <w:rFonts w:ascii="Times New Roman" w:hAnsi="Times New Roman" w:cs="Times New Roman"/>
          <w:sz w:val="24"/>
          <w:szCs w:val="24"/>
        </w:rPr>
        <w:t>Природа відомостей, їх різновиди, форми та способи подачі</w:t>
      </w:r>
    </w:p>
    <w:p w14:paraId="66BE28E8" w14:textId="308DD52C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3.</w:t>
      </w:r>
      <w:r w:rsidR="00B619AE" w:rsidRPr="00A22743">
        <w:rPr>
          <w:rFonts w:ascii="Times New Roman" w:hAnsi="Times New Roman" w:cs="Times New Roman"/>
          <w:sz w:val="24"/>
          <w:szCs w:val="24"/>
        </w:rPr>
        <w:t xml:space="preserve"> </w:t>
      </w:r>
      <w:r w:rsidR="00A54608" w:rsidRPr="00A22743">
        <w:rPr>
          <w:rFonts w:ascii="Times New Roman" w:hAnsi="Times New Roman" w:cs="Times New Roman"/>
          <w:sz w:val="24"/>
          <w:szCs w:val="24"/>
        </w:rPr>
        <w:t>Пошук, збір та верифікація відомостей: механізми та засоби верифікації</w:t>
      </w:r>
    </w:p>
    <w:p w14:paraId="24480D9E" w14:textId="6A48B27D" w:rsidR="00A54608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4.</w:t>
      </w:r>
      <w:r w:rsidR="00A54608" w:rsidRPr="00A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08" w:rsidRPr="00A22743">
        <w:rPr>
          <w:rFonts w:ascii="Times New Roman" w:hAnsi="Times New Roman" w:cs="Times New Roman"/>
          <w:bCs/>
          <w:sz w:val="24"/>
          <w:szCs w:val="24"/>
        </w:rPr>
        <w:t>Інформаційні ресурси та потреби</w:t>
      </w:r>
      <w:r w:rsidR="00A54608" w:rsidRPr="00A22743">
        <w:rPr>
          <w:rFonts w:ascii="Times New Roman" w:hAnsi="Times New Roman" w:cs="Times New Roman"/>
          <w:sz w:val="24"/>
          <w:szCs w:val="24"/>
        </w:rPr>
        <w:t>; культура інформац</w:t>
      </w:r>
      <w:r w:rsidR="007A4B08" w:rsidRPr="00A22743">
        <w:rPr>
          <w:rFonts w:ascii="Times New Roman" w:hAnsi="Times New Roman" w:cs="Times New Roman"/>
          <w:sz w:val="24"/>
          <w:szCs w:val="24"/>
        </w:rPr>
        <w:t>ійного споживання. Інформоманія</w:t>
      </w:r>
    </w:p>
    <w:p w14:paraId="7D088305" w14:textId="722C0227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5.</w:t>
      </w:r>
      <w:r w:rsidR="00A54608" w:rsidRPr="00A22743">
        <w:rPr>
          <w:rFonts w:ascii="Times New Roman" w:hAnsi="Times New Roman" w:cs="Times New Roman"/>
          <w:sz w:val="24"/>
          <w:szCs w:val="24"/>
        </w:rPr>
        <w:t xml:space="preserve"> Технології адресного донесен</w:t>
      </w:r>
      <w:r w:rsidR="00A22743">
        <w:rPr>
          <w:rFonts w:ascii="Times New Roman" w:hAnsi="Times New Roman" w:cs="Times New Roman"/>
          <w:sz w:val="24"/>
          <w:szCs w:val="24"/>
        </w:rPr>
        <w:t>ня та маніпулювання інформацією</w:t>
      </w:r>
    </w:p>
    <w:p w14:paraId="4F01A241" w14:textId="1165D9CE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6.</w:t>
      </w:r>
      <w:r w:rsidR="00B619AE" w:rsidRPr="00A22743">
        <w:rPr>
          <w:rFonts w:ascii="Times New Roman" w:hAnsi="Times New Roman" w:cs="Times New Roman"/>
          <w:sz w:val="24"/>
          <w:szCs w:val="24"/>
        </w:rPr>
        <w:t xml:space="preserve"> Комунікація як ключовий елемент соціального буття, її ф</w:t>
      </w:r>
      <w:r w:rsidR="00A54608" w:rsidRPr="00A22743">
        <w:rPr>
          <w:rFonts w:ascii="Times New Roman" w:hAnsi="Times New Roman" w:cs="Times New Roman"/>
          <w:sz w:val="24"/>
          <w:szCs w:val="24"/>
        </w:rPr>
        <w:t>ункції; комуні</w:t>
      </w:r>
      <w:r w:rsidR="000D30CB">
        <w:rPr>
          <w:rFonts w:ascii="Times New Roman" w:hAnsi="Times New Roman" w:cs="Times New Roman"/>
          <w:sz w:val="24"/>
          <w:szCs w:val="24"/>
        </w:rPr>
        <w:t>каційні стратегії та технології</w:t>
      </w:r>
    </w:p>
    <w:p w14:paraId="63C47F2A" w14:textId="6217090C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7.</w:t>
      </w:r>
      <w:r w:rsidR="00A54608" w:rsidRPr="00A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08" w:rsidRPr="00A22743">
        <w:rPr>
          <w:rFonts w:ascii="Times New Roman" w:hAnsi="Times New Roman" w:cs="Times New Roman"/>
          <w:sz w:val="24"/>
          <w:szCs w:val="24"/>
        </w:rPr>
        <w:t>Інформаційна агресія та безпека: методи інформаційного тиску і захисту від нього</w:t>
      </w:r>
    </w:p>
    <w:p w14:paraId="5E32338E" w14:textId="0CEE88BD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8.</w:t>
      </w:r>
      <w:r w:rsidR="007A4B08" w:rsidRPr="00A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58E">
        <w:rPr>
          <w:rFonts w:ascii="Times New Roman" w:hAnsi="Times New Roman" w:cs="Times New Roman"/>
          <w:sz w:val="24"/>
          <w:szCs w:val="24"/>
        </w:rPr>
        <w:t>Усвідомлення п</w:t>
      </w:r>
      <w:r w:rsidR="007A4B08" w:rsidRPr="00A22743">
        <w:rPr>
          <w:rFonts w:ascii="Times New Roman" w:hAnsi="Times New Roman" w:cs="Times New Roman"/>
          <w:sz w:val="24"/>
          <w:szCs w:val="24"/>
        </w:rPr>
        <w:t>рирод</w:t>
      </w:r>
      <w:r w:rsidR="009F158E">
        <w:rPr>
          <w:rFonts w:ascii="Times New Roman" w:hAnsi="Times New Roman" w:cs="Times New Roman"/>
          <w:sz w:val="24"/>
          <w:szCs w:val="24"/>
        </w:rPr>
        <w:t>и</w:t>
      </w:r>
      <w:r w:rsidR="007A4B08" w:rsidRPr="00A22743">
        <w:rPr>
          <w:rFonts w:ascii="Times New Roman" w:hAnsi="Times New Roman" w:cs="Times New Roman"/>
          <w:sz w:val="24"/>
          <w:szCs w:val="24"/>
        </w:rPr>
        <w:t xml:space="preserve"> та функціональн</w:t>
      </w:r>
      <w:r w:rsidR="009F158E">
        <w:rPr>
          <w:rFonts w:ascii="Times New Roman" w:hAnsi="Times New Roman" w:cs="Times New Roman"/>
          <w:sz w:val="24"/>
          <w:szCs w:val="24"/>
        </w:rPr>
        <w:t>ого</w:t>
      </w:r>
      <w:r w:rsidR="007A4B08" w:rsidRPr="00A22743">
        <w:rPr>
          <w:rFonts w:ascii="Times New Roman" w:hAnsi="Times New Roman" w:cs="Times New Roman"/>
          <w:sz w:val="24"/>
          <w:szCs w:val="24"/>
        </w:rPr>
        <w:t xml:space="preserve"> навантаження соціальних інститутів у бутті людини</w:t>
      </w:r>
      <w:r w:rsidR="00FF251A" w:rsidRPr="00A22743">
        <w:rPr>
          <w:rFonts w:ascii="Times New Roman" w:hAnsi="Times New Roman" w:cs="Times New Roman"/>
          <w:sz w:val="24"/>
          <w:szCs w:val="24"/>
        </w:rPr>
        <w:t xml:space="preserve"> як ключ до її самореалізації</w:t>
      </w:r>
    </w:p>
    <w:p w14:paraId="50F7F072" w14:textId="01961145" w:rsidR="00922247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9.</w:t>
      </w:r>
      <w:r w:rsidR="00FF251A" w:rsidRPr="00A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51A" w:rsidRPr="00A22743">
        <w:rPr>
          <w:rFonts w:ascii="Times New Roman" w:hAnsi="Times New Roman" w:cs="Times New Roman"/>
          <w:sz w:val="24"/>
          <w:szCs w:val="24"/>
        </w:rPr>
        <w:t>Ситуація людини, розуміння природи людини як ключ до її екзистенціального здоров’я</w:t>
      </w:r>
    </w:p>
    <w:p w14:paraId="75213DD5" w14:textId="4BA52836" w:rsidR="00FA6267" w:rsidRPr="00FA6267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227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>Зв’язок психічного здоров’я, морального стану, емоційного настрою та стилю міркувань; екзистенціальні мотивувальні начала та демотиватори</w:t>
      </w:r>
    </w:p>
    <w:p w14:paraId="074195EF" w14:textId="07FF544B" w:rsidR="008C6B60" w:rsidRDefault="008C6B60" w:rsidP="00A7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5185BA" w14:textId="77843185" w:rsidR="00110E4C" w:rsidRDefault="00110E4C" w:rsidP="00A7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6CAC4F" w14:textId="77777777" w:rsidR="00110E4C" w:rsidRPr="00FA6267" w:rsidRDefault="00110E4C" w:rsidP="00A7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09262C" w14:textId="77777777" w:rsidR="008C6B60" w:rsidRPr="00A76848" w:rsidRDefault="008C6B60" w:rsidP="00680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39769174"/>
      <w:r w:rsidRPr="00A76848">
        <w:rPr>
          <w:rFonts w:ascii="Times New Roman" w:hAnsi="Times New Roman" w:cs="Times New Roman"/>
          <w:b/>
          <w:sz w:val="24"/>
          <w:szCs w:val="24"/>
        </w:rPr>
        <w:lastRenderedPageBreak/>
        <w:t>Теми занять:</w:t>
      </w:r>
    </w:p>
    <w:p w14:paraId="040A205C" w14:textId="48C8BB27" w:rsidR="008C6B60" w:rsidRPr="00A76848" w:rsidRDefault="008C6B60" w:rsidP="00680FFA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848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0828F9" w:rsidRPr="00A76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6848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bookmarkEnd w:id="4"/>
    <w:p w14:paraId="3C6C6161" w14:textId="26E3B0B8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1.</w:t>
      </w:r>
      <w:r w:rsidRPr="00A22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Інформація</w:t>
      </w:r>
      <w:r w:rsidRPr="00A22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 суттєвий подразник та мотивувальне начало</w:t>
      </w:r>
      <w:r w:rsidR="00110E4C">
        <w:rPr>
          <w:rFonts w:ascii="Times New Roman" w:hAnsi="Times New Roman" w:cs="Times New Roman"/>
          <w:sz w:val="24"/>
          <w:szCs w:val="24"/>
        </w:rPr>
        <w:t xml:space="preserve"> у соціальному бутті та діяльності</w:t>
      </w:r>
    </w:p>
    <w:p w14:paraId="24E091FE" w14:textId="7ED55205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 xml:space="preserve">Тема 2. </w:t>
      </w:r>
      <w:r>
        <w:rPr>
          <w:rFonts w:ascii="Times New Roman" w:hAnsi="Times New Roman" w:cs="Times New Roman"/>
          <w:sz w:val="24"/>
          <w:szCs w:val="24"/>
        </w:rPr>
        <w:t>Стилі і способи донесення думки, обміну міркуваннями</w:t>
      </w:r>
      <w:r w:rsidR="00143837">
        <w:rPr>
          <w:rFonts w:ascii="Times New Roman" w:hAnsi="Times New Roman" w:cs="Times New Roman"/>
          <w:sz w:val="24"/>
          <w:szCs w:val="24"/>
        </w:rPr>
        <w:t>; зв’язок соціальної атмосфери та тиражованих у спільноті відомостей</w:t>
      </w:r>
    </w:p>
    <w:p w14:paraId="564D8940" w14:textId="1FC1A8D4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3.</w:t>
      </w:r>
      <w:r w:rsidRPr="00A22743">
        <w:rPr>
          <w:rFonts w:ascii="Times New Roman" w:hAnsi="Times New Roman" w:cs="Times New Roman"/>
          <w:sz w:val="24"/>
          <w:szCs w:val="24"/>
        </w:rPr>
        <w:t xml:space="preserve"> </w:t>
      </w:r>
      <w:r w:rsidR="00143837">
        <w:rPr>
          <w:rFonts w:ascii="Times New Roman" w:hAnsi="Times New Roman" w:cs="Times New Roman"/>
          <w:sz w:val="24"/>
          <w:szCs w:val="24"/>
        </w:rPr>
        <w:t>Співвідношення істини, правди та брехні: питання верифікації відомостей</w:t>
      </w:r>
    </w:p>
    <w:p w14:paraId="77973D21" w14:textId="77777777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 xml:space="preserve">Тема 4. </w:t>
      </w:r>
      <w:r w:rsidRPr="00A22743">
        <w:rPr>
          <w:rFonts w:ascii="Times New Roman" w:hAnsi="Times New Roman" w:cs="Times New Roman"/>
          <w:bCs/>
          <w:sz w:val="24"/>
          <w:szCs w:val="24"/>
        </w:rPr>
        <w:t>Інформаційні ресурси та потреби</w:t>
      </w:r>
      <w:r w:rsidRPr="00A22743">
        <w:rPr>
          <w:rFonts w:ascii="Times New Roman" w:hAnsi="Times New Roman" w:cs="Times New Roman"/>
          <w:sz w:val="24"/>
          <w:szCs w:val="24"/>
        </w:rPr>
        <w:t>; культура інформаційного споживання. Інформоманія</w:t>
      </w:r>
    </w:p>
    <w:p w14:paraId="001115E0" w14:textId="3C7D8E8C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5.</w:t>
      </w:r>
      <w:r w:rsidRPr="00A22743">
        <w:rPr>
          <w:rFonts w:ascii="Times New Roman" w:hAnsi="Times New Roman" w:cs="Times New Roman"/>
          <w:sz w:val="24"/>
          <w:szCs w:val="24"/>
        </w:rPr>
        <w:t xml:space="preserve"> </w:t>
      </w:r>
      <w:r w:rsidR="00143837">
        <w:rPr>
          <w:rFonts w:ascii="Times New Roman" w:hAnsi="Times New Roman" w:cs="Times New Roman"/>
          <w:sz w:val="24"/>
          <w:szCs w:val="24"/>
        </w:rPr>
        <w:t>Стилі і методи адресного донесення інформації як явні та приховані подразнювачі</w:t>
      </w:r>
    </w:p>
    <w:p w14:paraId="2A80E1A8" w14:textId="77777777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6.</w:t>
      </w:r>
      <w:r w:rsidRPr="00A22743">
        <w:rPr>
          <w:rFonts w:ascii="Times New Roman" w:hAnsi="Times New Roman" w:cs="Times New Roman"/>
          <w:sz w:val="24"/>
          <w:szCs w:val="24"/>
        </w:rPr>
        <w:t xml:space="preserve"> Комунікація як ключовий елемент соціального буття, її функції; комуні</w:t>
      </w:r>
      <w:r>
        <w:rPr>
          <w:rFonts w:ascii="Times New Roman" w:hAnsi="Times New Roman" w:cs="Times New Roman"/>
          <w:sz w:val="24"/>
          <w:szCs w:val="24"/>
        </w:rPr>
        <w:t>каційні стратегії та технології</w:t>
      </w:r>
    </w:p>
    <w:p w14:paraId="2D5DB51D" w14:textId="5A421E1F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 xml:space="preserve">Тема 7. </w:t>
      </w:r>
      <w:r w:rsidRPr="00A22743">
        <w:rPr>
          <w:rFonts w:ascii="Times New Roman" w:hAnsi="Times New Roman" w:cs="Times New Roman"/>
          <w:sz w:val="24"/>
          <w:szCs w:val="24"/>
        </w:rPr>
        <w:t xml:space="preserve">Інформаційна агресія </w:t>
      </w:r>
      <w:r w:rsidR="00143837">
        <w:rPr>
          <w:rFonts w:ascii="Times New Roman" w:hAnsi="Times New Roman" w:cs="Times New Roman"/>
          <w:sz w:val="24"/>
          <w:szCs w:val="24"/>
        </w:rPr>
        <w:t>як причина емоційних та психічних розладів; шляхи досягнення інформаційної  безпеки</w:t>
      </w:r>
    </w:p>
    <w:p w14:paraId="7EF9DACB" w14:textId="48C4DC40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 xml:space="preserve">Тема 8. </w:t>
      </w:r>
      <w:r w:rsidR="00143837">
        <w:rPr>
          <w:rFonts w:ascii="Times New Roman" w:hAnsi="Times New Roman" w:cs="Times New Roman"/>
          <w:sz w:val="24"/>
          <w:szCs w:val="24"/>
        </w:rPr>
        <w:t>Образ</w:t>
      </w:r>
      <w:r w:rsidRPr="00A22743">
        <w:rPr>
          <w:rFonts w:ascii="Times New Roman" w:hAnsi="Times New Roman" w:cs="Times New Roman"/>
          <w:sz w:val="24"/>
          <w:szCs w:val="24"/>
        </w:rPr>
        <w:t xml:space="preserve"> соціальних інститутів </w:t>
      </w:r>
      <w:r w:rsidR="00143837">
        <w:rPr>
          <w:rFonts w:ascii="Times New Roman" w:hAnsi="Times New Roman" w:cs="Times New Roman"/>
          <w:sz w:val="24"/>
          <w:szCs w:val="24"/>
        </w:rPr>
        <w:t>у громадській думці: прагматичний підхід щодо очікувань</w:t>
      </w:r>
    </w:p>
    <w:p w14:paraId="524BA5F7" w14:textId="61EC8DC8" w:rsidR="00FA6267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 xml:space="preserve">Тема 9. </w:t>
      </w:r>
      <w:r w:rsidR="00143837" w:rsidRPr="00143837">
        <w:rPr>
          <w:rFonts w:ascii="Times New Roman" w:hAnsi="Times New Roman" w:cs="Times New Roman"/>
          <w:sz w:val="24"/>
          <w:szCs w:val="24"/>
        </w:rPr>
        <w:t>Е</w:t>
      </w:r>
      <w:r w:rsidRPr="00A22743">
        <w:rPr>
          <w:rFonts w:ascii="Times New Roman" w:hAnsi="Times New Roman" w:cs="Times New Roman"/>
          <w:sz w:val="24"/>
          <w:szCs w:val="24"/>
        </w:rPr>
        <w:t>кзистенціальн</w:t>
      </w:r>
      <w:r w:rsidR="00143837">
        <w:rPr>
          <w:rFonts w:ascii="Times New Roman" w:hAnsi="Times New Roman" w:cs="Times New Roman"/>
          <w:sz w:val="24"/>
          <w:szCs w:val="24"/>
        </w:rPr>
        <w:t>е</w:t>
      </w:r>
      <w:r w:rsidRPr="00A22743">
        <w:rPr>
          <w:rFonts w:ascii="Times New Roman" w:hAnsi="Times New Roman" w:cs="Times New Roman"/>
          <w:sz w:val="24"/>
          <w:szCs w:val="24"/>
        </w:rPr>
        <w:t xml:space="preserve"> здоров’я</w:t>
      </w:r>
      <w:r w:rsidR="00143837">
        <w:rPr>
          <w:rFonts w:ascii="Times New Roman" w:hAnsi="Times New Roman" w:cs="Times New Roman"/>
          <w:sz w:val="24"/>
          <w:szCs w:val="24"/>
        </w:rPr>
        <w:t xml:space="preserve"> людини крізь призму змісту існування: </w:t>
      </w:r>
      <w:r w:rsidR="00110E4C">
        <w:rPr>
          <w:rFonts w:ascii="Times New Roman" w:hAnsi="Times New Roman" w:cs="Times New Roman"/>
          <w:sz w:val="24"/>
          <w:szCs w:val="24"/>
        </w:rPr>
        <w:t>«смакування» життям, животіння</w:t>
      </w:r>
      <w:r w:rsidR="00143837">
        <w:rPr>
          <w:rFonts w:ascii="Times New Roman" w:hAnsi="Times New Roman" w:cs="Times New Roman"/>
          <w:sz w:val="24"/>
          <w:szCs w:val="24"/>
        </w:rPr>
        <w:t xml:space="preserve"> та виживання</w:t>
      </w:r>
    </w:p>
    <w:p w14:paraId="3B2AD743" w14:textId="77777777" w:rsidR="00FA6267" w:rsidRPr="00FA6267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227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>Зв’язок психічного здоров’я, морального стану, емоційного настрою та стилю міркувань; екзистенціальні мотивувальні начала та демотиватори</w:t>
      </w:r>
    </w:p>
    <w:p w14:paraId="4AC87824" w14:textId="77777777" w:rsidR="00922247" w:rsidRPr="00A76848" w:rsidRDefault="00922247" w:rsidP="00906720">
      <w:pPr>
        <w:pStyle w:val="a4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14:paraId="01A13B6D" w14:textId="37B621FE" w:rsidR="003D1C58" w:rsidRPr="00A76848" w:rsidRDefault="003D1C58" w:rsidP="00A76848">
      <w:pPr>
        <w:pStyle w:val="a4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bookmarkStart w:id="5" w:name="_Hlk39768584"/>
      <w:r w:rsidRPr="00A7684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Список рекомендованої літератури:</w:t>
      </w:r>
    </w:p>
    <w:bookmarkEnd w:id="5"/>
    <w:p w14:paraId="337BA019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Арендт Х. (2002). Між минулим і майбутнім / Ханна Арендт; </w:t>
      </w:r>
      <w:r w:rsidRPr="009A47CD">
        <w:rPr>
          <w:rFonts w:ascii="Times New Roman" w:hAnsi="Times New Roman" w:cs="Times New Roman"/>
          <w:bCs/>
          <w:sz w:val="24"/>
          <w:szCs w:val="24"/>
        </w:rPr>
        <w:t>[</w:t>
      </w:r>
      <w:r w:rsidRPr="009A47CD">
        <w:rPr>
          <w:rFonts w:ascii="Times New Roman" w:hAnsi="Times New Roman" w:cs="Times New Roman"/>
          <w:sz w:val="24"/>
          <w:szCs w:val="24"/>
        </w:rPr>
        <w:t>пер. з англ.. Вілен Черняк</w:t>
      </w:r>
      <w:r w:rsidRPr="009A47CD">
        <w:rPr>
          <w:rFonts w:ascii="Times New Roman" w:hAnsi="Times New Roman" w:cs="Times New Roman"/>
          <w:bCs/>
          <w:sz w:val="24"/>
          <w:szCs w:val="24"/>
        </w:rPr>
        <w:t>]</w:t>
      </w:r>
      <w:r w:rsidRPr="009A47CD">
        <w:rPr>
          <w:rFonts w:ascii="Times New Roman" w:hAnsi="Times New Roman" w:cs="Times New Roman"/>
          <w:sz w:val="24"/>
          <w:szCs w:val="24"/>
        </w:rPr>
        <w:t xml:space="preserve">. – К.: Дух і Літера. – 321 с. </w:t>
      </w:r>
    </w:p>
    <w:p w14:paraId="28B99FF9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Арендт Г. (1999). Становище людини / Ганна Арендт; </w:t>
      </w:r>
      <w:r w:rsidRPr="009A47CD">
        <w:rPr>
          <w:rFonts w:ascii="Times New Roman" w:hAnsi="Times New Roman" w:cs="Times New Roman"/>
          <w:bCs/>
          <w:sz w:val="24"/>
          <w:szCs w:val="24"/>
        </w:rPr>
        <w:t>[</w:t>
      </w:r>
      <w:r w:rsidRPr="009A47CD">
        <w:rPr>
          <w:rFonts w:ascii="Times New Roman" w:hAnsi="Times New Roman" w:cs="Times New Roman"/>
          <w:sz w:val="24"/>
          <w:szCs w:val="24"/>
        </w:rPr>
        <w:t>пер. М. Зубрицька</w:t>
      </w:r>
      <w:r w:rsidRPr="009A47CD">
        <w:rPr>
          <w:rFonts w:ascii="Times New Roman" w:hAnsi="Times New Roman" w:cs="Times New Roman"/>
          <w:bCs/>
          <w:sz w:val="24"/>
          <w:szCs w:val="24"/>
        </w:rPr>
        <w:t>]</w:t>
      </w:r>
      <w:r w:rsidRPr="009A47CD">
        <w:rPr>
          <w:rFonts w:ascii="Times New Roman" w:hAnsi="Times New Roman" w:cs="Times New Roman"/>
          <w:sz w:val="24"/>
          <w:szCs w:val="24"/>
        </w:rPr>
        <w:t>. – Л. : Літопис. – 254 с.</w:t>
      </w:r>
    </w:p>
    <w:p w14:paraId="743AD278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Барматова С.П. (2009). Политика, информация, коммуникация: пространство взаимодействия : монография / Светлана Петровна Барматова; И.о. Аналит. центр изучения общества.– К. : ГАРККиИ. – 283 с.</w:t>
      </w:r>
    </w:p>
    <w:p w14:paraId="0FA93C95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Бергер П. (1996). Приглашение в социологию / Питер Бергер – М. : Аспект-Пресс. – 91 с.</w:t>
      </w:r>
    </w:p>
    <w:p w14:paraId="6A85E4B0" w14:textId="77777777" w:rsidR="002B3116" w:rsidRPr="009A47CD" w:rsidRDefault="002B3116" w:rsidP="00A768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7CD">
        <w:rPr>
          <w:rFonts w:ascii="Times New Roman" w:hAnsi="Times New Roman" w:cs="Times New Roman"/>
          <w:bCs/>
          <w:sz w:val="24"/>
          <w:szCs w:val="24"/>
        </w:rPr>
        <w:t xml:space="preserve">Бодріяр Жан. (2004). Симулякри і симуляція / Жан Бодріяр; [пер. з фр. В. Ховхун]. – К. : Вид-во Соломії Павличко «Основи». – 230 с. </w:t>
      </w:r>
    </w:p>
    <w:p w14:paraId="2DA3157F" w14:textId="77777777" w:rsidR="002B3116" w:rsidRPr="009A47CD" w:rsidRDefault="002B3116" w:rsidP="00A768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7CD">
        <w:rPr>
          <w:rFonts w:ascii="Times New Roman" w:hAnsi="Times New Roman" w:cs="Times New Roman"/>
          <w:bCs/>
          <w:sz w:val="24"/>
          <w:szCs w:val="24"/>
        </w:rPr>
        <w:t>Гайденко П.П. (2000). История новоевропейской философии в ее связи с наукой: Учебное пособие для вузов / Пиама Гайденко // М.: ПЕР СЭ; СПб.: Университетская книга. – 456 с.</w:t>
      </w:r>
    </w:p>
    <w:p w14:paraId="647C6FA4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Горбаткова А.Ф. (2017). Проблема информационного шума в жизни человека XXI века / А.Ф. Горбаткова, В.В. Котлярова // Научно-методический электронный журнал «Концепт». – № S7. – с. 6–59.</w:t>
      </w:r>
    </w:p>
    <w:p w14:paraId="14D3E3DC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Гриффин Э. (2009). Управление репутационными рисками : Стратегический подход / Эндрю Гриффин; Пер. с англ. С. Кривошеин. – М.: Альпина Бизнес Букс. – 237 с.</w:t>
      </w:r>
    </w:p>
    <w:p w14:paraId="1FD93D60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Евдокименко Е.Ю. (2013). Понятие информационного шума в социально-гуманитарных науках / Е.Ю. Евдокименко // Молодой ученый. – № 10. – с. 564-566</w:t>
      </w:r>
    </w:p>
    <w:p w14:paraId="6C14462B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Игнатенко А.А. (1998). Познать непознаваемое (аль-Газали о рациональном познании трансцендентного) // Средневековая арабская философия. Проблемы и решения. </w:t>
      </w:r>
      <w:r w:rsidRPr="009A47CD">
        <w:rPr>
          <w:rFonts w:ascii="Times New Roman" w:hAnsi="Times New Roman" w:cs="Times New Roman"/>
          <w:bCs/>
          <w:sz w:val="24"/>
          <w:szCs w:val="24"/>
        </w:rPr>
        <w:t>–</w:t>
      </w:r>
      <w:r w:rsidRPr="009A47CD">
        <w:rPr>
          <w:rFonts w:ascii="Times New Roman" w:hAnsi="Times New Roman" w:cs="Times New Roman"/>
          <w:sz w:val="24"/>
          <w:szCs w:val="24"/>
        </w:rPr>
        <w:t xml:space="preserve"> М.: Издательская фирма «Восточная литература» РАН. </w:t>
      </w:r>
      <w:r w:rsidRPr="009A47CD">
        <w:rPr>
          <w:rFonts w:ascii="Times New Roman" w:hAnsi="Times New Roman" w:cs="Times New Roman"/>
          <w:bCs/>
          <w:sz w:val="24"/>
          <w:szCs w:val="24"/>
        </w:rPr>
        <w:t xml:space="preserve">– 231 с. </w:t>
      </w:r>
    </w:p>
    <w:p w14:paraId="4DF28C7A" w14:textId="77777777" w:rsidR="00A76848" w:rsidRPr="009A47CD" w:rsidRDefault="00A76848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Информация: поиск, анализ, защита / Авт.-сост. Игорь Николаевич Кузнецов.– Минск : Амалфея, 2002.– 320 с.</w:t>
      </w:r>
    </w:p>
    <w:p w14:paraId="4474FE27" w14:textId="44A3A1EB" w:rsidR="003D1C58" w:rsidRPr="009A47CD" w:rsidRDefault="00922247" w:rsidP="00A7684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Калуга В.Ф. (2020). Людина як неосяжна загадка у світлі перманентного дискурсу множини розгадок // Україна у глобальному світі : колективна монографія / За заг. ред. д. і. н. В.В. Карпова. – Рига: Izdevniecība “Baltija Publishing”. – 258 с., – с. 40-59.</w:t>
      </w:r>
    </w:p>
    <w:p w14:paraId="254EBE94" w14:textId="77777777" w:rsidR="005F26DB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lastRenderedPageBreak/>
        <w:t xml:space="preserve">Калуга В.Ф. (2020). Міжнародна інформація у професійній діяльності : навчальний посібник / В.Ф. Калуга – Київ : НУБіП України. – 188 с. </w:t>
      </w:r>
    </w:p>
    <w:p w14:paraId="26F534AF" w14:textId="4C990482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Калуга В.Ф. (2015). Змістовність буття людини: раціональний та ірраціональний виміри / В.Ф. Калуга. – Ніжин : Видавець ПП Лисенко М.М. – 203 с. </w:t>
      </w:r>
    </w:p>
    <w:p w14:paraId="4F08DCB6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Калуга Володимир. (2019). Функціональне навантаження культури та мистецтва у бутті людини з огляду на екзистенціальний прагматизм. Філософія освіти. </w:t>
      </w: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Philosophy</w:t>
      </w: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– Том 24, № 1. – 142-153 с. </w:t>
      </w:r>
      <w:r w:rsidRPr="009A47CD">
        <w:rPr>
          <w:rFonts w:ascii="Times New Roman" w:hAnsi="Times New Roman" w:cs="Times New Roman"/>
          <w:sz w:val="24"/>
          <w:szCs w:val="24"/>
          <w:lang w:val="ru-RU"/>
        </w:rPr>
        <w:t>[Електронний ресурс] / В.Ф.</w:t>
      </w:r>
      <w:r w:rsidRPr="009A47CD">
        <w:rPr>
          <w:rFonts w:ascii="Times New Roman" w:hAnsi="Times New Roman" w:cs="Times New Roman"/>
          <w:sz w:val="24"/>
          <w:szCs w:val="24"/>
        </w:rPr>
        <w:t> </w:t>
      </w:r>
      <w:r w:rsidRPr="009A47CD">
        <w:rPr>
          <w:rFonts w:ascii="Times New Roman" w:hAnsi="Times New Roman" w:cs="Times New Roman"/>
          <w:sz w:val="24"/>
          <w:szCs w:val="24"/>
          <w:lang w:val="ru-RU"/>
        </w:rPr>
        <w:t xml:space="preserve">Калуга – Режим доступу : </w:t>
      </w:r>
      <w:hyperlink r:id="rId5" w:history="1">
        <w:r w:rsidRPr="009A47C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https://philosopheducation.com/index.php/philed/article/view/573/523</w:t>
        </w:r>
      </w:hyperlink>
    </w:p>
    <w:p w14:paraId="2932AE04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A47C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Калуга В.Ф. (2018). «Конструкція» людини з точки зору функціонального підходу до розрізнення її колективного та індивідуального начал / Філософія публічного управління. Науково-практичний журнал. – № 2, 2018. – с.13-19. </w:t>
      </w:r>
      <w:r w:rsidRPr="009A47CD">
        <w:rPr>
          <w:rFonts w:ascii="Times New Roman" w:hAnsi="Times New Roman" w:cs="Times New Roman"/>
          <w:sz w:val="24"/>
          <w:szCs w:val="24"/>
        </w:rPr>
        <w:t xml:space="preserve">[Електронний ресурс] / В.Ф. Калуга – Режим доступу : </w:t>
      </w:r>
      <w:hyperlink r:id="rId6" w:tgtFrame="_blank" w:history="1">
        <w:r w:rsidRPr="009A47C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https://ipk-education.com/wp-content/uploads/2019/06/zhurnal-2-2018-1.pdf</w:t>
        </w:r>
      </w:hyperlink>
    </w:p>
    <w:p w14:paraId="7F008572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Калуга В.Ф. (2018). Суть феномену «людський фактор» і що за ним може критися / В.Ф. Калуга // Науковий вісник Національного університету біоресурсів і природо-користування України. Серія «Гуманітарні студії»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 xml:space="preserve">. – </w:t>
      </w:r>
      <w:r w:rsidRPr="009A47CD">
        <w:rPr>
          <w:rFonts w:ascii="Times New Roman" w:hAnsi="Times New Roman" w:cs="Times New Roman"/>
          <w:sz w:val="24"/>
          <w:szCs w:val="24"/>
        </w:rPr>
        <w:t>№ 280,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 xml:space="preserve"> – с. 101-106.</w:t>
      </w:r>
    </w:p>
    <w:p w14:paraId="54877D0D" w14:textId="418A248E" w:rsidR="00922247" w:rsidRPr="009A47CD" w:rsidRDefault="002B3116" w:rsidP="00A7684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Калуга В.Ф. (2014). Ідентичність та самоідентичність в соціальному бутті людини: від конфлікту до єднання / В.Ф. Калуга. – Ніжин : Видавець ПП Лисенко М.М. – 412 с.</w:t>
      </w:r>
    </w:p>
    <w:p w14:paraId="6BA93B58" w14:textId="3000A7BB" w:rsidR="002B3116" w:rsidRPr="009A47CD" w:rsidRDefault="002B3116" w:rsidP="00A7684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Калуга В.Ф. (2014). Знання як результат активності людини, особливості його набуття і верифікації / В.Ф. Калуга // </w:t>
      </w:r>
      <w:r w:rsidRPr="009A47CD">
        <w:rPr>
          <w:rFonts w:ascii="Times New Roman" w:eastAsia="Calibri" w:hAnsi="Times New Roman" w:cs="Times New Roman"/>
          <w:bCs/>
          <w:sz w:val="24"/>
          <w:szCs w:val="24"/>
        </w:rPr>
        <w:t xml:space="preserve">Гуманітарні студії. </w:t>
      </w:r>
      <w:r w:rsidRPr="009A47CD">
        <w:rPr>
          <w:rFonts w:ascii="Times New Roman" w:eastAsia="Calibri" w:hAnsi="Times New Roman" w:cs="Times New Roman"/>
          <w:sz w:val="24"/>
          <w:szCs w:val="24"/>
        </w:rPr>
        <w:t xml:space="preserve">Збірник наукових праць. </w:t>
      </w:r>
      <w:r w:rsidRPr="009A47CD">
        <w:rPr>
          <w:rFonts w:ascii="Times New Roman" w:eastAsia="Calibri" w:hAnsi="Times New Roman" w:cs="Times New Roman"/>
          <w:bCs/>
          <w:sz w:val="24"/>
          <w:szCs w:val="24"/>
        </w:rPr>
        <w:t xml:space="preserve">Випуск 23 </w:t>
      </w:r>
      <w:r w:rsidRPr="009A47CD">
        <w:rPr>
          <w:rFonts w:ascii="Times New Roman" w:hAnsi="Times New Roman" w:cs="Times New Roman"/>
          <w:sz w:val="24"/>
          <w:szCs w:val="24"/>
        </w:rPr>
        <w:t>/ редкол.: А.Є. Конверський [та ін.]. – К. : Видавничо-поліграфічний центр «Київський університет».</w:t>
      </w:r>
      <w:r w:rsidRPr="009A47CD">
        <w:rPr>
          <w:rFonts w:ascii="Times New Roman" w:eastAsia="Calibri" w:hAnsi="Times New Roman" w:cs="Times New Roman"/>
          <w:bCs/>
          <w:sz w:val="24"/>
          <w:szCs w:val="24"/>
        </w:rPr>
        <w:t xml:space="preserve"> – с. 27-37. – </w:t>
      </w:r>
      <w:r w:rsidRPr="009A47CD">
        <w:rPr>
          <w:rFonts w:ascii="Times New Roman" w:hAnsi="Times New Roman" w:cs="Times New Roman"/>
          <w:sz w:val="24"/>
          <w:szCs w:val="24"/>
        </w:rPr>
        <w:t xml:space="preserve">[Електронний ресурс] / В.Ф. Калуга – Режим доступу : </w:t>
      </w:r>
      <w:hyperlink r:id="rId7" w:history="1">
        <w:r w:rsidRPr="009A47C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http://www.philosophy.univ.kiev.ua/uploads/editor/Files/Vydanna/Gumanitarni%20studii/мак_ГС_23.pdf</w:t>
        </w:r>
      </w:hyperlink>
    </w:p>
    <w:p w14:paraId="4A6AF376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Калуга В.Ф. (2014). Розум як інструмент пізнання та впорядкування дійсності: його властивості / В.Ф. Калуга // Філософія і політологія в контексті сучасної культури : науковий журнал / ред. колегія : О.С. Токовенко, П.І. Гнатеноко та ін. – Дніпропетровськ : Дніпропетровський національний університет ім. О.Гончара, вид. «ЛіраМ». – Вип. 8. – с. 47-51.</w:t>
      </w:r>
    </w:p>
    <w:p w14:paraId="2E2E0029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Калуга В.Ф. (2014). Суспільство як джерело девіантної поведінки та стимулятор агресії / В.Ф. Калуга // Наук. записки Національного університету «Острозька академія». Серія: Філософія / ред. колегія : І.Д.Пасічник, М.О. Зайцев та ін. – Острог : Видавництво Національного університету «Острозька академія». – Вип. 16. – С. 41-46.</w:t>
      </w:r>
    </w:p>
    <w:p w14:paraId="7D737D77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Куцепал С.В. (2004). Французька філософія другої половини ХХ століття: дискурс із префіксом «пост-» : монографія / С.В. Куцепал. – К. : ПАРАПАН. – 323 с.</w:t>
      </w:r>
    </w:p>
    <w:p w14:paraId="52A13837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Мак-Комбс М. (2007). Встановлення пріоритетів: масмедії та громадська думка / М. Мак-Комбс; пер. з англ. М. Давиденко. 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9A47CD">
        <w:rPr>
          <w:rFonts w:ascii="Times New Roman" w:hAnsi="Times New Roman" w:cs="Times New Roman"/>
          <w:sz w:val="24"/>
          <w:szCs w:val="24"/>
        </w:rPr>
        <w:t xml:space="preserve"> К. : К.І.С. 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9A47CD">
        <w:rPr>
          <w:rFonts w:ascii="Times New Roman" w:hAnsi="Times New Roman" w:cs="Times New Roman"/>
          <w:sz w:val="24"/>
          <w:szCs w:val="24"/>
        </w:rPr>
        <w:t xml:space="preserve"> 256 с.</w:t>
      </w:r>
    </w:p>
    <w:p w14:paraId="10C6B3E3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Мамонов М.В. (2001). Информационная политика и изменение общественного мнения / М.В. Мамонов // Полис. – № 5. – С. 26-32.</w:t>
      </w:r>
    </w:p>
    <w:p w14:paraId="0DF664BC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Ноэль-Нойман Э. (1996). Общественное мнение. Открытие спирали молчания: Пер. с нем. / Общ. ред. и предисл. Мансурова Н.С. 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9A47CD">
        <w:rPr>
          <w:rFonts w:ascii="Times New Roman" w:hAnsi="Times New Roman" w:cs="Times New Roman"/>
          <w:sz w:val="24"/>
          <w:szCs w:val="24"/>
        </w:rPr>
        <w:t xml:space="preserve"> М.: Прогресс-Академия, Весь Мир. 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 xml:space="preserve">– </w:t>
      </w:r>
      <w:r w:rsidRPr="009A47CD">
        <w:rPr>
          <w:rFonts w:ascii="Times New Roman" w:hAnsi="Times New Roman" w:cs="Times New Roman"/>
          <w:sz w:val="24"/>
          <w:szCs w:val="24"/>
        </w:rPr>
        <w:t>352 с.</w:t>
      </w:r>
    </w:p>
    <w:p w14:paraId="4083301A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Ошо Р. (2002). Любовь. Свобода. Одиночество / Р. Ошо // Спб.: ИД «Весь». – 228 с.</w:t>
      </w:r>
    </w:p>
    <w:p w14:paraId="03D92AF1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Пархоменко О.В. (2010). Інформація і знання: взаємозв'язок / Олексій Володимирович Пархоменко; В.о. Держ. ін-т інтелект. власності.– К. : ДIIВ, 2010.– 268 с.</w:t>
      </w:r>
    </w:p>
    <w:p w14:paraId="3D511CB1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Пітерс Дж. (2005). Cлова на вітрі: Історія ідеї комунікації. Київ: Видавничий дім «Києво-Могилянська академія». </w:t>
      </w: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A47CD">
        <w:rPr>
          <w:rFonts w:ascii="Times New Roman" w:hAnsi="Times New Roman" w:cs="Times New Roman"/>
          <w:sz w:val="24"/>
          <w:szCs w:val="24"/>
        </w:rPr>
        <w:t xml:space="preserve"> 304 с. </w:t>
      </w:r>
    </w:p>
    <w:p w14:paraId="6BC69488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Почепцов Г.Г. (2006). Теория коммуникации / Г.Г. Почепцов. – М.: «Рефл-бук», К.: «Ваклер». – 656 с.</w:t>
      </w:r>
    </w:p>
    <w:p w14:paraId="3C3D0444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Рашкофф Д. (2003). Медиавирус! Как поп-культура тайно воздействует на ваше сознание / Д. Рашкофф // Пер. с англ. Д. Борисова. – М.: Ультра.Культура. – 368 с. </w:t>
      </w:r>
    </w:p>
    <w:p w14:paraId="0BD97D0C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lastRenderedPageBreak/>
        <w:t>Сілвер Нейт. (2018). Сигнал і шум. Чому більшість прогнозів виявляються хибними : пер. с англ. / Нейт Сілвер; Пер. М. Гоцацюк.– Київ : КМ-Букс.– 544 с.</w:t>
      </w:r>
    </w:p>
    <w:p w14:paraId="3CE9C381" w14:textId="77777777" w:rsidR="00974251" w:rsidRPr="0021502F" w:rsidRDefault="00974251" w:rsidP="00974251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02F">
        <w:rPr>
          <w:rFonts w:ascii="Times New Roman" w:hAnsi="Times New Roman"/>
          <w:sz w:val="24"/>
          <w:szCs w:val="24"/>
        </w:rPr>
        <w:t xml:space="preserve">Супрун А.Г. (2021). Якість життя людини в умовах пандемії / А.Г. Супрун // Науковий журнал «Гуманітарні студії: педагогіка, психологія, філософія». – Видавництво Нубіп України. </w:t>
      </w:r>
      <w:r w:rsidRPr="0021502F">
        <w:rPr>
          <w:rFonts w:ascii="Times New Roman" w:hAnsi="Times New Roman" w:cs="Times New Roman"/>
          <w:sz w:val="24"/>
          <w:szCs w:val="24"/>
        </w:rPr>
        <w:t xml:space="preserve">– </w:t>
      </w:r>
      <w:r w:rsidRPr="0021502F">
        <w:rPr>
          <w:rFonts w:ascii="Times New Roman" w:hAnsi="Times New Roman"/>
          <w:sz w:val="24"/>
          <w:szCs w:val="24"/>
        </w:rPr>
        <w:t xml:space="preserve">Т.1, №2(4). </w:t>
      </w:r>
      <w:r w:rsidRPr="0021502F">
        <w:rPr>
          <w:rFonts w:ascii="Times New Roman" w:hAnsi="Times New Roman" w:cs="Times New Roman"/>
          <w:sz w:val="24"/>
          <w:szCs w:val="24"/>
        </w:rPr>
        <w:t>–</w:t>
      </w:r>
      <w:r w:rsidRPr="0021502F">
        <w:rPr>
          <w:rFonts w:ascii="Times New Roman" w:hAnsi="Times New Roman"/>
          <w:sz w:val="24"/>
          <w:szCs w:val="24"/>
        </w:rPr>
        <w:t xml:space="preserve"> 132-148с.</w:t>
      </w:r>
    </w:p>
    <w:p w14:paraId="6EFE02DA" w14:textId="77777777" w:rsidR="00974251" w:rsidRPr="0021502F" w:rsidRDefault="00974251" w:rsidP="00974251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02F">
        <w:rPr>
          <w:rFonts w:ascii="Times New Roman" w:hAnsi="Times New Roman"/>
          <w:sz w:val="24"/>
          <w:szCs w:val="24"/>
        </w:rPr>
        <w:t xml:space="preserve">Супрун А.Г. (2020). Страх: слабкість та вада чи невід’ємна складова буття? А.Г. Супрун // /Електронний Зб. наук. праць. </w:t>
      </w:r>
      <w:r w:rsidRPr="0021502F">
        <w:rPr>
          <w:rFonts w:ascii="Times New Roman" w:hAnsi="Times New Roman" w:cs="Times New Roman"/>
          <w:sz w:val="24"/>
          <w:szCs w:val="24"/>
        </w:rPr>
        <w:t>–</w:t>
      </w:r>
      <w:r w:rsidRPr="0021502F">
        <w:rPr>
          <w:rFonts w:ascii="Times New Roman" w:hAnsi="Times New Roman"/>
          <w:sz w:val="24"/>
          <w:szCs w:val="24"/>
        </w:rPr>
        <w:t xml:space="preserve"> Переяслав, </w:t>
      </w:r>
      <w:r w:rsidRPr="0021502F">
        <w:rPr>
          <w:rFonts w:ascii="Times New Roman" w:hAnsi="Times New Roman" w:cs="Times New Roman"/>
          <w:sz w:val="24"/>
          <w:szCs w:val="24"/>
        </w:rPr>
        <w:t>–</w:t>
      </w:r>
      <w:r w:rsidRPr="0021502F">
        <w:rPr>
          <w:rFonts w:ascii="Times New Roman" w:hAnsi="Times New Roman"/>
          <w:sz w:val="24"/>
          <w:szCs w:val="24"/>
        </w:rPr>
        <w:t xml:space="preserve"> Вип.1, 87-91с.</w:t>
      </w:r>
    </w:p>
    <w:p w14:paraId="21C060FB" w14:textId="77777777" w:rsidR="00974251" w:rsidRPr="0021502F" w:rsidRDefault="00974251" w:rsidP="00974251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02F">
        <w:rPr>
          <w:rFonts w:ascii="Times New Roman" w:hAnsi="Times New Roman"/>
          <w:sz w:val="24"/>
          <w:szCs w:val="24"/>
        </w:rPr>
        <w:t xml:space="preserve">Супрун А.Г. (2020). Філософія та медицина:  перспектива взаєморозвитку» / А.Г. Супрун // Науковий журнал «Гуманітарні студії: педагогіка, психологія, філософія. – Видавництво Нубіп України. </w:t>
      </w:r>
      <w:r w:rsidRPr="0021502F">
        <w:rPr>
          <w:rFonts w:ascii="Times New Roman" w:hAnsi="Times New Roman" w:cs="Times New Roman"/>
          <w:sz w:val="24"/>
          <w:szCs w:val="24"/>
        </w:rPr>
        <w:t>–</w:t>
      </w:r>
      <w:r w:rsidRPr="0021502F">
        <w:rPr>
          <w:rFonts w:ascii="Times New Roman" w:hAnsi="Times New Roman"/>
          <w:sz w:val="24"/>
          <w:szCs w:val="24"/>
        </w:rPr>
        <w:t xml:space="preserve"> Т.1, №11(2). </w:t>
      </w:r>
      <w:r w:rsidRPr="0021502F">
        <w:rPr>
          <w:rFonts w:ascii="Times New Roman" w:hAnsi="Times New Roman" w:cs="Times New Roman"/>
          <w:sz w:val="24"/>
          <w:szCs w:val="24"/>
        </w:rPr>
        <w:t xml:space="preserve">– </w:t>
      </w:r>
      <w:r w:rsidRPr="0021502F">
        <w:rPr>
          <w:rFonts w:ascii="Times New Roman" w:hAnsi="Times New Roman"/>
          <w:sz w:val="24"/>
          <w:szCs w:val="24"/>
        </w:rPr>
        <w:t>134-139с.</w:t>
      </w:r>
    </w:p>
    <w:p w14:paraId="6C55335B" w14:textId="77777777" w:rsidR="00974251" w:rsidRPr="0021502F" w:rsidRDefault="00974251" w:rsidP="00974251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02F">
        <w:rPr>
          <w:rFonts w:ascii="Times New Roman" w:hAnsi="Times New Roman"/>
          <w:sz w:val="24"/>
          <w:szCs w:val="24"/>
        </w:rPr>
        <w:t xml:space="preserve">Супрун А.Г. (2020). Гармонізація фізичного та духовного здоровя як запороука якісного життя людини / А.Г. Супрун // Науковий журнал «Гуманітарні студії: педагогіка, психологія, філософія». – Видавництво Нубіп України. </w:t>
      </w:r>
      <w:r w:rsidRPr="0021502F">
        <w:rPr>
          <w:rFonts w:ascii="Times New Roman" w:hAnsi="Times New Roman" w:cs="Times New Roman"/>
          <w:sz w:val="24"/>
          <w:szCs w:val="24"/>
        </w:rPr>
        <w:t>–</w:t>
      </w:r>
      <w:r w:rsidRPr="0021502F">
        <w:rPr>
          <w:rFonts w:ascii="Times New Roman" w:hAnsi="Times New Roman"/>
          <w:sz w:val="24"/>
          <w:szCs w:val="24"/>
        </w:rPr>
        <w:t xml:space="preserve"> Т.1, №11(4). </w:t>
      </w:r>
      <w:r w:rsidRPr="0021502F">
        <w:rPr>
          <w:rFonts w:ascii="Times New Roman" w:hAnsi="Times New Roman" w:cs="Times New Roman"/>
          <w:sz w:val="24"/>
          <w:szCs w:val="24"/>
        </w:rPr>
        <w:t xml:space="preserve">– </w:t>
      </w:r>
      <w:r w:rsidRPr="0021502F">
        <w:rPr>
          <w:rFonts w:ascii="Times New Roman" w:hAnsi="Times New Roman"/>
          <w:sz w:val="24"/>
          <w:szCs w:val="24"/>
        </w:rPr>
        <w:t>138-142с.</w:t>
      </w:r>
    </w:p>
    <w:p w14:paraId="1BA0106A" w14:textId="77777777" w:rsidR="00974251" w:rsidRPr="0021502F" w:rsidRDefault="00974251" w:rsidP="00974251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02F">
        <w:rPr>
          <w:rFonts w:ascii="Times New Roman" w:hAnsi="Times New Roman"/>
          <w:sz w:val="24"/>
          <w:szCs w:val="24"/>
        </w:rPr>
        <w:t xml:space="preserve">Супрун А.Г. (2018). Філософія успішності в умовах перехідного суспільства » / А.Г. Супрун // Науковий Науковий вісник НУБіП України. Серія «Гуманітарні студії». - К.: ВЦ НУБіП України,–Вип. 247. – 95-100 с. </w:t>
      </w:r>
    </w:p>
    <w:p w14:paraId="50C8EF80" w14:textId="77777777" w:rsidR="00A76848" w:rsidRPr="009A47CD" w:rsidRDefault="00A76848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Ткачук Т. (2007). Характерні особливості конкурентної розвідки та промислового шпигунства / Тарас Ткачук // Персонал. – № 2. –Електронний ресурс – Режим доступу: </w:t>
      </w:r>
      <w:hyperlink r:id="rId8" w:history="1">
        <w:r w:rsidRPr="009A47C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http://www.personal.in.ua/article.php?ida=451</w:t>
        </w:r>
      </w:hyperlink>
    </w:p>
    <w:p w14:paraId="526F27FC" w14:textId="77777777" w:rsidR="00A76848" w:rsidRPr="009A47CD" w:rsidRDefault="00A76848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Филимонов Г. (2010). «Мягкая сила» культурной дипломатии США. – М. : Издательство: Российский университет дружбы народов. – 216 с.</w:t>
      </w:r>
    </w:p>
    <w:p w14:paraId="319EEEC1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Фрейд З. (1999). Основные психические теории в психоанализе. Очерк истории психоанализа / Зигмунд Фрейд // СПб.: «Алатейя». – 252 с.</w:t>
      </w:r>
    </w:p>
    <w:p w14:paraId="72585F5C" w14:textId="77777777" w:rsidR="00A76848" w:rsidRPr="009A47CD" w:rsidRDefault="00A76848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Хайдеггер М. (1998). Пролегомены к истории понятия времени. – Томск: Водолей. – 383 с.</w:t>
      </w:r>
    </w:p>
    <w:p w14:paraId="43CA9ECE" w14:textId="77777777" w:rsidR="00A76848" w:rsidRPr="009A47CD" w:rsidRDefault="00A76848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Халер Міхаель (2008). Інтерв`ю : навч. посіб. / М. Халер [і інші] ; пер. К. Маккеєв, П. Демешко ; заг. ред. В. Ф. Іванов. – К. : Академія Української Преси : Центр Вільної Преси. – 404 c. </w:t>
      </w:r>
    </w:p>
    <w:p w14:paraId="7D88C406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Халер Міхаель (2006). Пошук і збір інформації: Навчальний посібник / За загал. ред. В.Ф. Іванова та А. Коль. – К.: Академія Української Преси, Центр Вільної Преси. – 308 с.</w:t>
      </w:r>
    </w:p>
    <w:p w14:paraId="0AE40843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Чумаченко В.А. (2009). Політ нічного метелика: Характерницьке мистецтво в Україні / </w:t>
      </w:r>
      <w:r w:rsidRPr="009A47C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В.А. Чумаченко – Кривий Ріг: Видавничий дім «Калинова сопілка». – 234 с.</w:t>
      </w:r>
    </w:p>
    <w:p w14:paraId="61063EAD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Цаллер Дж. (2004). Происхождение и природа общественного мнения / Дж. Цаллер; Пер. с англ. А.А. Петровой. – М.: Институт Фонда «Общественное мнение».– 559 с.</w:t>
      </w:r>
    </w:p>
    <w:p w14:paraId="165F1FA0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Шлапаченко В.М. (2015). Шпигунство як діяльність зі здобування інформації / В.М. Шлапаченко // «Інформаційна безпека людини, суспільства, держави» 1(17). – С. 99-109.</w:t>
      </w:r>
    </w:p>
    <w:p w14:paraId="03C2C08E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Юзвишин И.И. (1996). Информациология / И.И. Юзвишин. – М:. Радио и связь. – 214 с.</w:t>
      </w:r>
    </w:p>
    <w:p w14:paraId="5A4CEC8E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Яковлєв А.А. (2013). Спеціальні технічні засоби негласного збору інформації / А.А. Яковлєв, О.О. Лис ", Наукові праці Чорноморського державного університету імені Петра Могили комплексу "Києво-Могилянська академія". Сер.: Комп’ютерні технології, Т. 229, Вип. 217, С. 39-43.</w:t>
      </w:r>
    </w:p>
    <w:p w14:paraId="691DB7CC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Arendt, Hannah. (1982). Lectures on Kant’s Political Philosophy. The University of Chicago Pres, Chicago. – 174 р.</w:t>
      </w:r>
    </w:p>
    <w:p w14:paraId="3420F58F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Arquilla J. </w:t>
      </w:r>
      <w:r w:rsidRPr="009A47CD">
        <w:rPr>
          <w:rFonts w:ascii="Times New Roman" w:hAnsi="Times New Roman" w:cs="Times New Roman"/>
          <w:sz w:val="24"/>
          <w:szCs w:val="24"/>
        </w:rPr>
        <w:t>(1997). Looking ahead: preparing for information-age conflict</w:t>
      </w:r>
      <w:r w:rsidRPr="009A47CD"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/ J. Arquilla, D</w:t>
      </w:r>
      <w:r w:rsidRPr="009A47CD">
        <w:rPr>
          <w:rFonts w:ascii="Times New Roman" w:hAnsi="Times New Roman" w:cs="Times New Roman"/>
          <w:sz w:val="24"/>
          <w:szCs w:val="24"/>
        </w:rPr>
        <w:t>. </w:t>
      </w:r>
      <w:r w:rsidRPr="009A47CD"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Ronfeldt </w:t>
      </w:r>
      <w:r w:rsidRPr="009A47CD">
        <w:rPr>
          <w:rFonts w:ascii="Times New Roman" w:hAnsi="Times New Roman" w:cs="Times New Roman"/>
          <w:sz w:val="24"/>
          <w:szCs w:val="24"/>
        </w:rPr>
        <w:t>// In Athena's camp. Preparing for conflict in the information age. Ed. by J. Arquilloa, D. Ronfeldt. – Santa Monica. – 237 р.</w:t>
      </w:r>
    </w:p>
    <w:p w14:paraId="6F7950BA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7CD">
        <w:rPr>
          <w:rFonts w:ascii="Times New Roman" w:hAnsi="Times New Roman" w:cs="Times New Roman"/>
          <w:sz w:val="24"/>
          <w:szCs w:val="24"/>
        </w:rPr>
        <w:t>Durham P. (2001). Speaking into the Air: A History of the Idea of Communication / Peters John Durham //</w:t>
      </w: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 of Chicago Press. – 304 р.</w:t>
      </w:r>
    </w:p>
    <w:p w14:paraId="1C1AF159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lastRenderedPageBreak/>
        <w:t>McQuail Denis. (1994). Mass Communication Theory: An Introduction. Third edition. London: Sage Publications. – 184 р.</w:t>
      </w:r>
    </w:p>
    <w:p w14:paraId="1BD349AD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Turkle S. (2003). Life on the Screen: Identity in the Age of the Internet / S. Turkle. – N.Y.: Simon and Schuster. – 403 р.</w:t>
      </w:r>
    </w:p>
    <w:p w14:paraId="13BE3942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Urry J. (2003). Global Complexity / John Urry. – Cambridge: Polity Press. – 172 p.</w:t>
      </w:r>
    </w:p>
    <w:p w14:paraId="242F6CBA" w14:textId="77777777" w:rsidR="002B3116" w:rsidRPr="00A76848" w:rsidRDefault="002B3116" w:rsidP="00110E4C">
      <w:pPr>
        <w:pStyle w:val="a4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B3116" w:rsidRPr="00A7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4BD"/>
    <w:multiLevelType w:val="hybridMultilevel"/>
    <w:tmpl w:val="CDA48EA0"/>
    <w:lvl w:ilvl="0" w:tplc="0450AC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367C7"/>
    <w:multiLevelType w:val="hybridMultilevel"/>
    <w:tmpl w:val="0C30E9D4"/>
    <w:lvl w:ilvl="0" w:tplc="0D26D53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45C34"/>
    <w:multiLevelType w:val="hybridMultilevel"/>
    <w:tmpl w:val="00A401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4C76"/>
    <w:multiLevelType w:val="hybridMultilevel"/>
    <w:tmpl w:val="12280D8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FAB4917"/>
    <w:multiLevelType w:val="hybridMultilevel"/>
    <w:tmpl w:val="868E5DD2"/>
    <w:lvl w:ilvl="0" w:tplc="2AA69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699D"/>
    <w:multiLevelType w:val="hybridMultilevel"/>
    <w:tmpl w:val="12AA4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2FF8"/>
    <w:multiLevelType w:val="hybridMultilevel"/>
    <w:tmpl w:val="BCC436FE"/>
    <w:lvl w:ilvl="0" w:tplc="3DBA7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29DA"/>
    <w:multiLevelType w:val="hybridMultilevel"/>
    <w:tmpl w:val="9BE417B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DE14C8"/>
    <w:multiLevelType w:val="hybridMultilevel"/>
    <w:tmpl w:val="434042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14C9E"/>
    <w:rsid w:val="00027B28"/>
    <w:rsid w:val="000828F9"/>
    <w:rsid w:val="00090CA7"/>
    <w:rsid w:val="000D30CB"/>
    <w:rsid w:val="00110E4C"/>
    <w:rsid w:val="00143837"/>
    <w:rsid w:val="00235B3E"/>
    <w:rsid w:val="002B3116"/>
    <w:rsid w:val="00310CDB"/>
    <w:rsid w:val="003D1C58"/>
    <w:rsid w:val="005D282C"/>
    <w:rsid w:val="005F26DB"/>
    <w:rsid w:val="00633BF1"/>
    <w:rsid w:val="006519EA"/>
    <w:rsid w:val="0065418D"/>
    <w:rsid w:val="006557B0"/>
    <w:rsid w:val="00680FFA"/>
    <w:rsid w:val="007716E9"/>
    <w:rsid w:val="007A0160"/>
    <w:rsid w:val="007A4B08"/>
    <w:rsid w:val="008C6B60"/>
    <w:rsid w:val="008F2C85"/>
    <w:rsid w:val="00906720"/>
    <w:rsid w:val="00922247"/>
    <w:rsid w:val="00974251"/>
    <w:rsid w:val="009A47CD"/>
    <w:rsid w:val="009F158E"/>
    <w:rsid w:val="00A22743"/>
    <w:rsid w:val="00A54608"/>
    <w:rsid w:val="00A76848"/>
    <w:rsid w:val="00B619AE"/>
    <w:rsid w:val="00B92E7F"/>
    <w:rsid w:val="00D01BFF"/>
    <w:rsid w:val="00D46D13"/>
    <w:rsid w:val="00E53B7A"/>
    <w:rsid w:val="00FA6267"/>
    <w:rsid w:val="00FB35A1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624F"/>
  <w15:chartTrackingRefBased/>
  <w15:docId w15:val="{BFB454A7-A235-43A6-A8E7-6CE3FF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D1C58"/>
    <w:pPr>
      <w:ind w:left="720"/>
      <w:contextualSpacing/>
    </w:pPr>
  </w:style>
  <w:style w:type="character" w:styleId="a5">
    <w:name w:val="Hyperlink"/>
    <w:uiPriority w:val="99"/>
    <w:rsid w:val="003D1C58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3D1C58"/>
  </w:style>
  <w:style w:type="paragraph" w:styleId="a6">
    <w:name w:val="footer"/>
    <w:basedOn w:val="a"/>
    <w:link w:val="a7"/>
    <w:rsid w:val="002B3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B311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Emphasis"/>
    <w:uiPriority w:val="99"/>
    <w:qFormat/>
    <w:rsid w:val="002B311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.in.ua/article.php?ida=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phy.univ.kiev.ua/uploads/editor/Files/Vydanna/Gumanitarni%20studii/&#1084;&#1072;&#1082;_&#1043;&#1057;_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-education.com/wp-content/uploads/2019/06/zhurnal-2-2018-1.pdf" TargetMode="External"/><Relationship Id="rId5" Type="http://schemas.openxmlformats.org/officeDocument/2006/relationships/hyperlink" Target="https://philosopheducation.com/index.php/philed/article/view/573/5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 Олександр В'ячеславович</dc:creator>
  <cp:keywords/>
  <dc:description/>
  <cp:lastModifiedBy>Сторожук Олександр В'ячеславович</cp:lastModifiedBy>
  <cp:revision>3</cp:revision>
  <dcterms:created xsi:type="dcterms:W3CDTF">2021-05-17T18:28:00Z</dcterms:created>
  <dcterms:modified xsi:type="dcterms:W3CDTF">2021-05-24T20:31:00Z</dcterms:modified>
</cp:coreProperties>
</file>