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264889" w:rsidRDefault="00654D54" w:rsidP="0013093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264889" w:rsidTr="00A96EF1">
        <w:tc>
          <w:tcPr>
            <w:tcW w:w="2978" w:type="dxa"/>
            <w:vMerge w:val="restart"/>
          </w:tcPr>
          <w:p w:rsidR="001431F8" w:rsidRPr="00264889" w:rsidRDefault="001431F8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264889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СИЛАБУС ДИСЦИПЛІНИ </w:t>
            </w:r>
          </w:p>
          <w:p w:rsidR="001431F8" w:rsidRPr="00264889" w:rsidRDefault="00134BF8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«ФІНАНСИ</w:t>
            </w:r>
            <w:r w:rsidR="00786646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І КРЕДИТ</w:t>
            </w:r>
            <w:r w:rsidR="001431F8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431F8" w:rsidRPr="00264889" w:rsidTr="00A96EF1">
        <w:tc>
          <w:tcPr>
            <w:tcW w:w="2978" w:type="dxa"/>
            <w:vMerge/>
          </w:tcPr>
          <w:p w:rsidR="001431F8" w:rsidRPr="00264889" w:rsidRDefault="001431F8" w:rsidP="0013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:rsidR="00EC07A1" w:rsidRPr="00264889" w:rsidRDefault="00EC07A1" w:rsidP="00130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1F8" w:rsidRPr="00264889" w:rsidRDefault="001431F8" w:rsidP="00130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Ступінь вищої освіти - Бакалавр</w:t>
            </w:r>
          </w:p>
        </w:tc>
      </w:tr>
      <w:tr w:rsidR="00A96EF1" w:rsidRPr="00264889" w:rsidTr="00A96EF1">
        <w:tc>
          <w:tcPr>
            <w:tcW w:w="2978" w:type="dxa"/>
            <w:vMerge/>
          </w:tcPr>
          <w:p w:rsidR="00A96EF1" w:rsidRPr="00264889" w:rsidRDefault="00A96EF1" w:rsidP="0013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:rsidR="00A96EF1" w:rsidRDefault="00A96EF1" w:rsidP="00D353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Спеціальність </w:t>
            </w:r>
            <w:r w:rsidR="00D3537F" w:rsidRPr="0026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BD1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 Підприємництво, торгівля та біржова діяльність</w:t>
            </w:r>
          </w:p>
          <w:p w:rsidR="00BD17E4" w:rsidRPr="00264889" w:rsidRDefault="00BD17E4" w:rsidP="00D353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Освітня програма Підприємництво, торгівля та біржова діяльність</w:t>
            </w:r>
          </w:p>
        </w:tc>
      </w:tr>
      <w:tr w:rsidR="001431F8" w:rsidRPr="00264889" w:rsidTr="00A96EF1">
        <w:tc>
          <w:tcPr>
            <w:tcW w:w="2978" w:type="dxa"/>
            <w:vMerge/>
          </w:tcPr>
          <w:p w:rsidR="001431F8" w:rsidRPr="00264889" w:rsidRDefault="001431F8" w:rsidP="0013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:rsidR="001431F8" w:rsidRPr="00264889" w:rsidRDefault="00D3537F" w:rsidP="00130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Рік навчання  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семестр  </w:t>
            </w:r>
            <w:r w:rsidR="00BD1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  <w:p w:rsidR="0020200E" w:rsidRPr="00264889" w:rsidRDefault="00D3537F" w:rsidP="00130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навчання  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денна </w:t>
            </w:r>
            <w:r w:rsidR="0020200E" w:rsidRPr="00264889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 w:rsidR="0020200E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431F8" w:rsidRPr="00264889" w:rsidTr="00A96EF1">
        <w:tc>
          <w:tcPr>
            <w:tcW w:w="2978" w:type="dxa"/>
            <w:vMerge/>
          </w:tcPr>
          <w:p w:rsidR="001431F8" w:rsidRPr="00264889" w:rsidRDefault="001431F8" w:rsidP="0013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:rsidR="001431F8" w:rsidRPr="00264889" w:rsidRDefault="001431F8" w:rsidP="00130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кредитів </w:t>
            </w:r>
            <w:r w:rsidR="0020200E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ЄКТС</w:t>
            </w:r>
            <w:r w:rsidR="00D3537F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537F" w:rsidRPr="002648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</w:tr>
      <w:tr w:rsidR="001431F8" w:rsidRPr="00264889" w:rsidTr="00A96EF1">
        <w:tc>
          <w:tcPr>
            <w:tcW w:w="2978" w:type="dxa"/>
            <w:vMerge/>
          </w:tcPr>
          <w:p w:rsidR="001431F8" w:rsidRPr="00264889" w:rsidRDefault="001431F8" w:rsidP="00130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</w:tcPr>
          <w:p w:rsidR="001431F8" w:rsidRPr="00264889" w:rsidRDefault="0020200E" w:rsidP="00130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Мова викладання </w:t>
            </w:r>
            <w:r w:rsidR="00D3537F"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37F" w:rsidRPr="002648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українська</w:t>
            </w:r>
            <w:r w:rsidR="00D3537F"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264889" w:rsidTr="00A96EF1">
        <w:tc>
          <w:tcPr>
            <w:tcW w:w="2978" w:type="dxa"/>
          </w:tcPr>
          <w:p w:rsidR="00A96EF1" w:rsidRPr="00264889" w:rsidRDefault="00A96EF1" w:rsidP="001309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264889" w:rsidRDefault="00A96EF1" w:rsidP="001309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31F8" w:rsidRPr="00264889" w:rsidTr="00A96EF1">
        <w:tc>
          <w:tcPr>
            <w:tcW w:w="2978" w:type="dxa"/>
          </w:tcPr>
          <w:p w:rsidR="001431F8" w:rsidRPr="00264889" w:rsidRDefault="001431F8" w:rsidP="00134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Лектор курсу</w:t>
            </w:r>
            <w:r w:rsidR="00D3537F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3537F" w:rsidRPr="00264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11" w:type="dxa"/>
          </w:tcPr>
          <w:p w:rsidR="001431F8" w:rsidRPr="00264889" w:rsidRDefault="00581698" w:rsidP="0013093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spellStart"/>
            <w:r w:rsidR="00134BF8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к.е.н</w:t>
            </w:r>
            <w:proofErr w:type="spellEnd"/>
            <w:r w:rsidR="00134BF8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доцент, </w:t>
            </w:r>
            <w:proofErr w:type="spellStart"/>
            <w:r w:rsidR="00134BF8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Мрачковська</w:t>
            </w:r>
            <w:proofErr w:type="spellEnd"/>
            <w:r w:rsidR="00134BF8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Надія Костянтинівна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="00134BF8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134BF8" w:rsidRPr="002648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</w:t>
            </w:r>
            <w:r w:rsidR="002648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___________</w:t>
            </w:r>
            <w:r w:rsidR="00134BF8" w:rsidRPr="002648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_</w:t>
            </w:r>
          </w:p>
        </w:tc>
      </w:tr>
      <w:tr w:rsidR="001431F8" w:rsidRPr="00264889" w:rsidTr="00A96EF1">
        <w:tc>
          <w:tcPr>
            <w:tcW w:w="2978" w:type="dxa"/>
          </w:tcPr>
          <w:p w:rsidR="00D3537F" w:rsidRPr="00264889" w:rsidRDefault="001431F8" w:rsidP="00130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 інформація</w:t>
            </w:r>
            <w:r w:rsidR="00D3537F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431F8" w:rsidRPr="00264889" w:rsidRDefault="001431F8" w:rsidP="00134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лектора (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3537F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</w:tcPr>
          <w:p w:rsidR="001431F8" w:rsidRPr="00264889" w:rsidRDefault="00134BF8" w:rsidP="00134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096 747 53 36</w:t>
            </w:r>
            <w:r w:rsidR="00581698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_____________</w:t>
            </w:r>
            <w:r w:rsidR="00264889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581698" w:rsidRPr="00264889" w:rsidRDefault="00581698" w:rsidP="001309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134BF8" w:rsidRPr="002648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nadmrachkovska@gmail.com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  <w:r w:rsidR="00134BF8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</w:tr>
      <w:tr w:rsidR="001431F8" w:rsidRPr="00264889" w:rsidTr="00A96EF1">
        <w:tc>
          <w:tcPr>
            <w:tcW w:w="2978" w:type="dxa"/>
          </w:tcPr>
          <w:p w:rsidR="00D3537F" w:rsidRPr="00264889" w:rsidRDefault="001431F8" w:rsidP="00A96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Сторінка курсу в</w:t>
            </w:r>
            <w:r w:rsidR="00A96EF1" w:rsidRPr="002648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48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A96EF1" w:rsidRPr="002648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earn</w:t>
            </w:r>
            <w:proofErr w:type="spellEnd"/>
            <w:r w:rsidR="00D3537F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431F8" w:rsidRPr="00264889" w:rsidRDefault="001431F8" w:rsidP="00A96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1" w:type="dxa"/>
          </w:tcPr>
          <w:p w:rsidR="001431F8" w:rsidRPr="00264889" w:rsidRDefault="00BD17E4" w:rsidP="00130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134BF8" w:rsidRPr="00264889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https://elearn.nubip.edu.ua/course/view.php?id=23</w:t>
              </w:r>
            </w:hyperlink>
          </w:p>
        </w:tc>
      </w:tr>
    </w:tbl>
    <w:p w:rsidR="001431F8" w:rsidRPr="00264889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7A1" w:rsidRPr="0026488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264889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ОПИС ДИСЦИПЛІНИ</w:t>
      </w:r>
    </w:p>
    <w:p w:rsidR="002401AD" w:rsidRPr="00264889" w:rsidRDefault="002401AD" w:rsidP="002401A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64889">
        <w:rPr>
          <w:rFonts w:ascii="Times New Roman" w:eastAsia="Times New Roman" w:hAnsi="Times New Roman" w:cs="Times New Roman"/>
          <w:sz w:val="20"/>
          <w:szCs w:val="20"/>
          <w:lang w:eastAsia="uk-UA"/>
        </w:rPr>
        <w:t>Фінанси відіграють надзвичайно важливу роль у суспільстві. Вони формують його життєдіяльність, потенціал, забезпечуючи при цьому реалізацію поставлених кожною людиною, кожним підприємством та державою завдань і цілей. Розуміння сутності грошей, кредитних відносин, валютних відносин, принципів побудови та функціонування кредитної і банківської системи дозволяє об’єктивно оцінювати фінансове середовище, в якому функціонує господарюючий суб’єкт і приймати ефективні фінансові рішення в процесі управління його діяльністю. Дисципліна «Фінанси і кредит» відноситься до числа спеціальних базових дисциплін і вивчає сутність фінансів, грошей та кредиту, їх функцій в суспільстві, ролі в процесі становлення ринкової економіки, складу кредитної системи і функцій її окремих компонентів, а також актуальних проблем кредитування.</w:t>
      </w:r>
    </w:p>
    <w:p w:rsidR="002401AD" w:rsidRPr="00264889" w:rsidRDefault="002401AD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07A1" w:rsidRPr="0026488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264889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1371"/>
        <w:gridCol w:w="3119"/>
        <w:gridCol w:w="1417"/>
        <w:gridCol w:w="1412"/>
      </w:tblGrid>
      <w:tr w:rsidR="00487459" w:rsidRPr="00264889" w:rsidTr="00A26582">
        <w:tc>
          <w:tcPr>
            <w:tcW w:w="2026" w:type="dxa"/>
            <w:vAlign w:val="center"/>
          </w:tcPr>
          <w:p w:rsidR="00EC07A1" w:rsidRPr="00264889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371" w:type="dxa"/>
            <w:vAlign w:val="center"/>
          </w:tcPr>
          <w:p w:rsidR="00EC07A1" w:rsidRPr="00264889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88443A" w:rsidRPr="00264889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EC07A1" w:rsidRPr="00264889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A96EF1" w:rsidRPr="002648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3119" w:type="dxa"/>
            <w:vAlign w:val="center"/>
          </w:tcPr>
          <w:p w:rsidR="00EC07A1" w:rsidRPr="00264889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17" w:type="dxa"/>
            <w:vAlign w:val="center"/>
          </w:tcPr>
          <w:p w:rsidR="00EC07A1" w:rsidRPr="00264889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412" w:type="dxa"/>
            <w:vAlign w:val="center"/>
          </w:tcPr>
          <w:p w:rsidR="00EC07A1" w:rsidRPr="00264889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ED3451" w:rsidRPr="00264889" w:rsidTr="0088443A">
        <w:tc>
          <w:tcPr>
            <w:tcW w:w="9345" w:type="dxa"/>
            <w:gridSpan w:val="5"/>
          </w:tcPr>
          <w:p w:rsidR="00ED3451" w:rsidRPr="00264889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544D46" w:rsidRPr="00264889" w:rsidTr="0088443A">
        <w:tc>
          <w:tcPr>
            <w:tcW w:w="9345" w:type="dxa"/>
            <w:gridSpan w:val="5"/>
          </w:tcPr>
          <w:p w:rsidR="00544D46" w:rsidRPr="00264889" w:rsidRDefault="00786646" w:rsidP="00786646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544D46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6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СУТНІСТЬ ТА ПРИЗНАЧЕННЯ ФІНАНСІВ. МАКРОФІНАНСИ</w:t>
            </w:r>
          </w:p>
        </w:tc>
      </w:tr>
      <w:tr w:rsidR="00A541CD" w:rsidRPr="00264889" w:rsidTr="00A26582">
        <w:trPr>
          <w:trHeight w:val="3117"/>
        </w:trPr>
        <w:tc>
          <w:tcPr>
            <w:tcW w:w="2026" w:type="dxa"/>
          </w:tcPr>
          <w:p w:rsidR="00A541CD" w:rsidRPr="00264889" w:rsidRDefault="00A541CD" w:rsidP="00BD17E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Тема1.</w:t>
            </w:r>
          </w:p>
          <w:p w:rsidR="00A541CD" w:rsidRPr="00264889" w:rsidRDefault="00A541CD" w:rsidP="00BD1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 фінансової науки. Фінансові категорії</w:t>
            </w:r>
          </w:p>
        </w:tc>
        <w:tc>
          <w:tcPr>
            <w:tcW w:w="1371" w:type="dxa"/>
          </w:tcPr>
          <w:p w:rsidR="00A541CD" w:rsidRPr="00264889" w:rsidRDefault="00A541CD" w:rsidP="00D323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1CD" w:rsidRPr="00264889" w:rsidRDefault="00A541CD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vMerge w:val="restart"/>
          </w:tcPr>
          <w:p w:rsidR="00A541CD" w:rsidRDefault="00A541CD" w:rsidP="00D3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CD">
              <w:rPr>
                <w:rFonts w:ascii="Times New Roman" w:hAnsi="Times New Roman" w:cs="Times New Roman"/>
                <w:b/>
                <w:sz w:val="20"/>
                <w:szCs w:val="20"/>
              </w:rPr>
              <w:t>Знати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  сутність поняття категорії «фінанси», їх відмінності від категорії «гроші», </w:t>
            </w:r>
            <w:r w:rsidRPr="005E1637">
              <w:rPr>
                <w:rFonts w:ascii="Times New Roman" w:hAnsi="Times New Roman" w:cs="Times New Roman"/>
                <w:sz w:val="20"/>
                <w:szCs w:val="20"/>
              </w:rPr>
              <w:t>основи побудови фінансової системи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її</w:t>
            </w:r>
            <w:r w:rsidRPr="005E1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сфери та ланки, особливості фінансової політики, структуру фінансового механізму, необхідність застосування та класифікаційні ознаки податків, їх роль у формуванні бюджету держави, причини виникнення бюджетного дефіциту та методи його погашення</w:t>
            </w:r>
          </w:p>
          <w:p w:rsidR="00A541CD" w:rsidRDefault="00A541CD" w:rsidP="00D3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Розуміти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 мету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завдання фінансової політики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 та інструментарій фінансового механізму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структуру податкової та бюджетної системи, необхідність державних запозичень та джерела їх погашення. </w:t>
            </w:r>
          </w:p>
          <w:p w:rsidR="00A541CD" w:rsidRPr="00A541CD" w:rsidRDefault="00A541CD" w:rsidP="00D32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Розрізняти </w:t>
            </w:r>
            <w:r w:rsidRPr="00A541CD">
              <w:rPr>
                <w:rFonts w:ascii="Times New Roman" w:hAnsi="Times New Roman" w:cs="Times New Roman"/>
                <w:sz w:val="20"/>
                <w:szCs w:val="20"/>
              </w:rPr>
              <w:t>прямі та непрямі податки, їх роль та значення у формуванні дохідної частини державного бюджету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стадії бюджетного процесу та методи фінансового механізму, види державного боргу та джерела його погашення.</w:t>
            </w:r>
          </w:p>
          <w:p w:rsidR="00A541CD" w:rsidRPr="00A541CD" w:rsidRDefault="00A541CD" w:rsidP="00A5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Аналізувати </w:t>
            </w:r>
            <w:r w:rsidRPr="00A541CD">
              <w:rPr>
                <w:rFonts w:ascii="Times New Roman" w:hAnsi="Times New Roman" w:cs="Times New Roman"/>
                <w:sz w:val="20"/>
                <w:szCs w:val="20"/>
              </w:rPr>
              <w:t xml:space="preserve">динаміку податкових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неподаткових </w:t>
            </w:r>
            <w:r w:rsidRPr="00A541CD">
              <w:rPr>
                <w:rFonts w:ascii="Times New Roman" w:hAnsi="Times New Roman" w:cs="Times New Roman"/>
                <w:sz w:val="20"/>
                <w:szCs w:val="20"/>
              </w:rPr>
              <w:t>надходжень до 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авного бюджету, динаміку зовнішнього та внутрішнього державного боргу.</w:t>
            </w:r>
            <w:r w:rsidRPr="00A54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1CD" w:rsidRPr="002C7B75" w:rsidRDefault="00A541CD" w:rsidP="002C7B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Застосовувати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набуті знання </w:t>
            </w:r>
            <w:r w:rsidRPr="00264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командній роботі, делегувати повноваження, розподіляти роботу і вести дискусію</w:t>
            </w:r>
          </w:p>
          <w:p w:rsidR="00A541CD" w:rsidRPr="00264889" w:rsidRDefault="00A541CD" w:rsidP="00884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C7B75" w:rsidRPr="00875C5D" w:rsidRDefault="00A541CD" w:rsidP="002C7B75">
            <w:pPr>
              <w:rPr>
                <w:rFonts w:ascii="Times New Roman" w:hAnsi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2C7B75" w:rsidRPr="00875C5D">
              <w:rPr>
                <w:rFonts w:ascii="Times New Roman" w:hAnsi="Times New Roman"/>
                <w:sz w:val="20"/>
                <w:szCs w:val="20"/>
              </w:rPr>
              <w:t>Написання тестів</w:t>
            </w:r>
            <w:r w:rsidR="002C7B75">
              <w:rPr>
                <w:rFonts w:ascii="Times New Roman" w:hAnsi="Times New Roman"/>
                <w:sz w:val="20"/>
                <w:szCs w:val="20"/>
              </w:rPr>
              <w:t xml:space="preserve">, розв’язок задач, </w:t>
            </w:r>
          </w:p>
          <w:p w:rsidR="002C7B75" w:rsidRPr="00875C5D" w:rsidRDefault="002C7B75" w:rsidP="002C7B75">
            <w:pPr>
              <w:rPr>
                <w:rFonts w:ascii="Times New Roman" w:hAnsi="Times New Roman"/>
                <w:sz w:val="20"/>
                <w:szCs w:val="20"/>
              </w:rPr>
            </w:pPr>
            <w:r w:rsidRPr="00875C5D">
              <w:rPr>
                <w:rFonts w:ascii="Times New Roman" w:hAnsi="Times New Roman"/>
                <w:sz w:val="20"/>
                <w:szCs w:val="20"/>
              </w:rPr>
              <w:t>Систематизація матеріалів в запропоновані таблиці</w:t>
            </w:r>
          </w:p>
          <w:p w:rsidR="002C7B75" w:rsidRPr="00875C5D" w:rsidRDefault="002C7B75" w:rsidP="002C7B75">
            <w:pPr>
              <w:rPr>
                <w:rFonts w:ascii="Times New Roman" w:hAnsi="Times New Roman"/>
                <w:sz w:val="20"/>
                <w:szCs w:val="20"/>
              </w:rPr>
            </w:pPr>
            <w:r w:rsidRPr="00875C5D">
              <w:rPr>
                <w:rFonts w:ascii="Times New Roman" w:hAnsi="Times New Roman"/>
                <w:sz w:val="20"/>
                <w:szCs w:val="20"/>
              </w:rPr>
              <w:t>Доповідь з презентацією</w:t>
            </w:r>
          </w:p>
          <w:p w:rsidR="00A541CD" w:rsidRPr="00264889" w:rsidRDefault="002C7B75" w:rsidP="002C7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5D">
              <w:rPr>
                <w:rFonts w:ascii="Times New Roman" w:hAnsi="Times New Roman"/>
                <w:sz w:val="20"/>
                <w:szCs w:val="20"/>
              </w:rPr>
              <w:t>Бізнес кейс</w:t>
            </w:r>
          </w:p>
        </w:tc>
        <w:tc>
          <w:tcPr>
            <w:tcW w:w="1412" w:type="dxa"/>
            <w:vMerge w:val="restart"/>
          </w:tcPr>
          <w:p w:rsidR="00A541CD" w:rsidRPr="00583C3D" w:rsidRDefault="00A541CD" w:rsidP="00A541CD">
            <w:pPr>
              <w:rPr>
                <w:rFonts w:ascii="Times New Roman" w:hAnsi="Times New Roman"/>
                <w:sz w:val="20"/>
                <w:szCs w:val="20"/>
              </w:rPr>
            </w:pPr>
            <w:r w:rsidRPr="00583C3D">
              <w:rPr>
                <w:rFonts w:ascii="Times New Roman" w:hAnsi="Times New Roman"/>
                <w:sz w:val="20"/>
                <w:szCs w:val="20"/>
              </w:rPr>
              <w:t>Виконання практичних робіт – зараховано.</w:t>
            </w:r>
          </w:p>
          <w:p w:rsidR="00A541CD" w:rsidRPr="00583C3D" w:rsidRDefault="00A541CD" w:rsidP="00A541CD">
            <w:pPr>
              <w:rPr>
                <w:rFonts w:ascii="Times New Roman" w:hAnsi="Times New Roman"/>
                <w:sz w:val="20"/>
                <w:szCs w:val="20"/>
              </w:rPr>
            </w:pPr>
            <w:r w:rsidRPr="00583C3D">
              <w:rPr>
                <w:rFonts w:ascii="Times New Roman" w:hAnsi="Times New Roman"/>
                <w:sz w:val="20"/>
                <w:szCs w:val="20"/>
              </w:rPr>
              <w:t xml:space="preserve">Модульна тестова робота в </w:t>
            </w:r>
            <w:proofErr w:type="spellStart"/>
            <w:r w:rsidRPr="00583C3D">
              <w:rPr>
                <w:rFonts w:ascii="Times New Roman" w:hAnsi="Times New Roman"/>
                <w:sz w:val="20"/>
                <w:szCs w:val="20"/>
              </w:rPr>
              <w:t>eLearn</w:t>
            </w:r>
            <w:proofErr w:type="spellEnd"/>
            <w:r w:rsidRPr="00583C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41CD" w:rsidRPr="00264889" w:rsidRDefault="00A541CD" w:rsidP="00A54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C3D">
              <w:rPr>
                <w:rFonts w:ascii="Times New Roman" w:hAnsi="Times New Roman"/>
                <w:sz w:val="20"/>
                <w:szCs w:val="20"/>
              </w:rPr>
              <w:t xml:space="preserve">Самостійна робота – згідно з журналом оцінювання в </w:t>
            </w:r>
            <w:proofErr w:type="spellStart"/>
            <w:r w:rsidRPr="00583C3D">
              <w:rPr>
                <w:rFonts w:ascii="Times New Roman" w:hAnsi="Times New Roman"/>
                <w:sz w:val="20"/>
                <w:szCs w:val="20"/>
              </w:rPr>
              <w:t>eLearn</w:t>
            </w:r>
            <w:proofErr w:type="spellEnd"/>
            <w:r w:rsidRPr="00583C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41CD" w:rsidRPr="00264889" w:rsidTr="00A26582">
        <w:tc>
          <w:tcPr>
            <w:tcW w:w="2026" w:type="dxa"/>
          </w:tcPr>
          <w:p w:rsidR="00A541CD" w:rsidRDefault="00A541CD" w:rsidP="00BD1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Тема2.</w:t>
            </w:r>
          </w:p>
          <w:p w:rsidR="00A541CD" w:rsidRPr="00264889" w:rsidRDefault="00A541CD" w:rsidP="00BD1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Фінансова система, фінансова політика, фінансовий механізм</w:t>
            </w:r>
          </w:p>
        </w:tc>
        <w:tc>
          <w:tcPr>
            <w:tcW w:w="1371" w:type="dxa"/>
          </w:tcPr>
          <w:p w:rsidR="00A541CD" w:rsidRPr="00264889" w:rsidRDefault="00A541CD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9" w:type="dxa"/>
            <w:vMerge/>
          </w:tcPr>
          <w:p w:rsidR="00A541CD" w:rsidRPr="00264889" w:rsidRDefault="00A541CD" w:rsidP="00884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41CD" w:rsidRPr="00264889" w:rsidRDefault="00A541CD" w:rsidP="00081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541CD" w:rsidRPr="00264889" w:rsidRDefault="00A541CD" w:rsidP="00DE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41CD" w:rsidRPr="00264889" w:rsidTr="00A26582">
        <w:tc>
          <w:tcPr>
            <w:tcW w:w="2026" w:type="dxa"/>
          </w:tcPr>
          <w:p w:rsidR="00A541CD" w:rsidRPr="00264889" w:rsidRDefault="00A541CD" w:rsidP="00BD1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41CD" w:rsidRPr="00264889" w:rsidRDefault="00A541CD" w:rsidP="00BD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Податки. Податкова система</w:t>
            </w:r>
          </w:p>
        </w:tc>
        <w:tc>
          <w:tcPr>
            <w:tcW w:w="1371" w:type="dxa"/>
          </w:tcPr>
          <w:p w:rsidR="00A541CD" w:rsidRPr="00264889" w:rsidRDefault="00A541CD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9" w:type="dxa"/>
            <w:vMerge/>
          </w:tcPr>
          <w:p w:rsidR="00A541CD" w:rsidRPr="00264889" w:rsidRDefault="00A541CD" w:rsidP="00884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41CD" w:rsidRPr="00264889" w:rsidRDefault="00A541CD" w:rsidP="002648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541CD" w:rsidRPr="00264889" w:rsidRDefault="00A541CD" w:rsidP="00DE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41CD" w:rsidRPr="00264889" w:rsidTr="00A26582">
        <w:tc>
          <w:tcPr>
            <w:tcW w:w="2026" w:type="dxa"/>
          </w:tcPr>
          <w:p w:rsidR="00A541CD" w:rsidRPr="00264889" w:rsidRDefault="00A541CD" w:rsidP="00BD1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  <w:r w:rsidR="002C7B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41CD" w:rsidRPr="00264889" w:rsidRDefault="00A541CD" w:rsidP="00BD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Бюджет. Бюджетна система</w:t>
            </w:r>
          </w:p>
        </w:tc>
        <w:tc>
          <w:tcPr>
            <w:tcW w:w="1371" w:type="dxa"/>
          </w:tcPr>
          <w:p w:rsidR="00A541CD" w:rsidRPr="00264889" w:rsidRDefault="00A541CD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9" w:type="dxa"/>
            <w:vMerge/>
          </w:tcPr>
          <w:p w:rsidR="00A541CD" w:rsidRPr="00264889" w:rsidRDefault="00A541CD" w:rsidP="00884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41CD" w:rsidRPr="00264889" w:rsidRDefault="00A541CD" w:rsidP="00884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541CD" w:rsidRPr="00264889" w:rsidRDefault="00A541CD" w:rsidP="00DE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41CD" w:rsidRPr="00264889" w:rsidTr="00A26582">
        <w:tc>
          <w:tcPr>
            <w:tcW w:w="2026" w:type="dxa"/>
          </w:tcPr>
          <w:p w:rsidR="00A541CD" w:rsidRPr="00264889" w:rsidRDefault="00A541CD" w:rsidP="00BD1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5</w:t>
            </w:r>
            <w:r w:rsidR="002C7B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41CD" w:rsidRPr="00264889" w:rsidRDefault="00A541CD" w:rsidP="00BD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Державний кредит і державний борг</w:t>
            </w:r>
          </w:p>
        </w:tc>
        <w:tc>
          <w:tcPr>
            <w:tcW w:w="1371" w:type="dxa"/>
          </w:tcPr>
          <w:p w:rsidR="00A541CD" w:rsidRPr="00264889" w:rsidRDefault="00A541CD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9" w:type="dxa"/>
            <w:vMerge/>
          </w:tcPr>
          <w:p w:rsidR="00A541CD" w:rsidRPr="00264889" w:rsidRDefault="00A541CD" w:rsidP="00884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41CD" w:rsidRPr="00264889" w:rsidRDefault="00A541CD" w:rsidP="00884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541CD" w:rsidRPr="00264889" w:rsidRDefault="00A541CD" w:rsidP="00DE1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09FB" w:rsidRPr="00264889" w:rsidTr="006D1312">
        <w:tc>
          <w:tcPr>
            <w:tcW w:w="9345" w:type="dxa"/>
            <w:gridSpan w:val="5"/>
          </w:tcPr>
          <w:p w:rsidR="00786646" w:rsidRPr="00264889" w:rsidRDefault="00786646" w:rsidP="00786646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</w:t>
            </w:r>
            <w:r w:rsidR="003809FB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6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ФІНАНСИ ПІДПРИЄМСТВ ТА ДОМОГОСПОДАРСТВ</w:t>
            </w:r>
          </w:p>
        </w:tc>
      </w:tr>
      <w:tr w:rsidR="00A26582" w:rsidRPr="00264889" w:rsidTr="00A26582">
        <w:tc>
          <w:tcPr>
            <w:tcW w:w="2026" w:type="dxa"/>
          </w:tcPr>
          <w:p w:rsidR="00A26582" w:rsidRPr="00264889" w:rsidRDefault="00A26582" w:rsidP="00BD1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582" w:rsidRPr="00264889" w:rsidRDefault="00A26582" w:rsidP="00BD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Фінанси підприємств</w:t>
            </w:r>
          </w:p>
        </w:tc>
        <w:tc>
          <w:tcPr>
            <w:tcW w:w="1371" w:type="dxa"/>
          </w:tcPr>
          <w:p w:rsidR="00A26582" w:rsidRPr="00A26582" w:rsidRDefault="00A2658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82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vMerge w:val="restart"/>
          </w:tcPr>
          <w:p w:rsidR="00A26582" w:rsidRPr="00A26582" w:rsidRDefault="00A26582" w:rsidP="00380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сутність фінансів підприємств, функції та принципи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структуру доходів і витрат домогосподарств.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582" w:rsidRDefault="00A26582" w:rsidP="0038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Вміти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аналізувати фонди фінансових ресурсів підприємств та показники фінансової діяльності підприємства</w:t>
            </w:r>
          </w:p>
          <w:p w:rsidR="00A26582" w:rsidRDefault="00A26582" w:rsidP="002C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Розуміти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необхідність запровадження різних видів страхування, призначення страхового ринку та основні показники діяльності.</w:t>
            </w:r>
          </w:p>
          <w:p w:rsidR="00A26582" w:rsidRPr="00264889" w:rsidRDefault="00A26582" w:rsidP="002C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Аналізувати структуру фінансового ринку та його інструменти</w:t>
            </w:r>
          </w:p>
          <w:p w:rsidR="00A26582" w:rsidRPr="00A26582" w:rsidRDefault="00A26582" w:rsidP="00380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Використовувати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фінансову звітність підприємств, страхових компаній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інституцій фінансового ринку для фінансового аналізу </w:t>
            </w:r>
          </w:p>
          <w:p w:rsidR="00A26582" w:rsidRPr="00264889" w:rsidRDefault="00A26582" w:rsidP="00380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Знати 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яке місце займає страхування у суспільному відтворенні</w:t>
            </w:r>
          </w:p>
          <w:p w:rsidR="00A26582" w:rsidRPr="00264889" w:rsidRDefault="00A26582" w:rsidP="00380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Вміти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аналізувати основні показники страхового ринку</w:t>
            </w:r>
          </w:p>
          <w:p w:rsidR="00A26582" w:rsidRPr="00264889" w:rsidRDefault="00A26582" w:rsidP="0038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Розуміти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призначення існуючих видів страхування їх взаємозв’язок з конкретними ризиками.</w:t>
            </w:r>
          </w:p>
          <w:p w:rsidR="00A26582" w:rsidRPr="00264889" w:rsidRDefault="00A26582" w:rsidP="00A2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Використовувати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набуті знання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застосування фінансового менеджменту на практиці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A26582" w:rsidRPr="00875C5D" w:rsidRDefault="00A26582" w:rsidP="002C7B75">
            <w:pPr>
              <w:rPr>
                <w:rFonts w:ascii="Times New Roman" w:hAnsi="Times New Roman"/>
                <w:sz w:val="20"/>
                <w:szCs w:val="20"/>
              </w:rPr>
            </w:pPr>
            <w:r w:rsidRPr="00875C5D">
              <w:rPr>
                <w:rFonts w:ascii="Times New Roman" w:hAnsi="Times New Roman"/>
                <w:sz w:val="20"/>
                <w:szCs w:val="20"/>
              </w:rPr>
              <w:t>Написання тестів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розв’язок задач, </w:t>
            </w:r>
          </w:p>
          <w:p w:rsidR="00A26582" w:rsidRPr="00875C5D" w:rsidRDefault="00A26582" w:rsidP="002C7B75">
            <w:pPr>
              <w:rPr>
                <w:rFonts w:ascii="Times New Roman" w:hAnsi="Times New Roman"/>
                <w:sz w:val="20"/>
                <w:szCs w:val="20"/>
              </w:rPr>
            </w:pPr>
            <w:r w:rsidRPr="00875C5D">
              <w:rPr>
                <w:rFonts w:ascii="Times New Roman" w:hAnsi="Times New Roman"/>
                <w:sz w:val="20"/>
                <w:szCs w:val="20"/>
              </w:rPr>
              <w:t>Систематизація матеріалів в запропоновані таблиці</w:t>
            </w:r>
          </w:p>
          <w:p w:rsidR="00A26582" w:rsidRPr="00875C5D" w:rsidRDefault="00A26582" w:rsidP="002C7B75">
            <w:pPr>
              <w:rPr>
                <w:rFonts w:ascii="Times New Roman" w:hAnsi="Times New Roman"/>
                <w:sz w:val="20"/>
                <w:szCs w:val="20"/>
              </w:rPr>
            </w:pPr>
            <w:r w:rsidRPr="00875C5D">
              <w:rPr>
                <w:rFonts w:ascii="Times New Roman" w:hAnsi="Times New Roman"/>
                <w:sz w:val="20"/>
                <w:szCs w:val="20"/>
              </w:rPr>
              <w:t>Доповідь з презентацією</w:t>
            </w:r>
          </w:p>
          <w:p w:rsidR="00A26582" w:rsidRPr="00264889" w:rsidRDefault="00A26582" w:rsidP="002C7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5D">
              <w:rPr>
                <w:rFonts w:ascii="Times New Roman" w:hAnsi="Times New Roman"/>
                <w:sz w:val="20"/>
                <w:szCs w:val="20"/>
              </w:rPr>
              <w:t>Бізнес кейс</w:t>
            </w:r>
          </w:p>
        </w:tc>
        <w:tc>
          <w:tcPr>
            <w:tcW w:w="1412" w:type="dxa"/>
            <w:vMerge w:val="restart"/>
          </w:tcPr>
          <w:p w:rsidR="00A26582" w:rsidRPr="00583C3D" w:rsidRDefault="00A26582" w:rsidP="00A541CD">
            <w:pPr>
              <w:rPr>
                <w:rFonts w:ascii="Times New Roman" w:hAnsi="Times New Roman"/>
                <w:sz w:val="20"/>
                <w:szCs w:val="20"/>
              </w:rPr>
            </w:pPr>
            <w:r w:rsidRPr="00583C3D">
              <w:rPr>
                <w:rFonts w:ascii="Times New Roman" w:hAnsi="Times New Roman"/>
                <w:sz w:val="20"/>
                <w:szCs w:val="20"/>
              </w:rPr>
              <w:t>Виконання практичних робіт – зараховано.</w:t>
            </w:r>
          </w:p>
          <w:p w:rsidR="00A26582" w:rsidRPr="00583C3D" w:rsidRDefault="00A26582" w:rsidP="00A541CD">
            <w:pPr>
              <w:rPr>
                <w:rFonts w:ascii="Times New Roman" w:hAnsi="Times New Roman"/>
                <w:sz w:val="20"/>
                <w:szCs w:val="20"/>
              </w:rPr>
            </w:pPr>
            <w:r w:rsidRPr="00583C3D">
              <w:rPr>
                <w:rFonts w:ascii="Times New Roman" w:hAnsi="Times New Roman"/>
                <w:sz w:val="20"/>
                <w:szCs w:val="20"/>
              </w:rPr>
              <w:t xml:space="preserve">Модульна тестова робота в </w:t>
            </w:r>
            <w:proofErr w:type="spellStart"/>
            <w:r w:rsidRPr="00583C3D">
              <w:rPr>
                <w:rFonts w:ascii="Times New Roman" w:hAnsi="Times New Roman"/>
                <w:sz w:val="20"/>
                <w:szCs w:val="20"/>
              </w:rPr>
              <w:t>eLearn</w:t>
            </w:r>
            <w:proofErr w:type="spellEnd"/>
            <w:r w:rsidRPr="00583C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6582" w:rsidRPr="00264889" w:rsidRDefault="00A26582" w:rsidP="00A54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C3D">
              <w:rPr>
                <w:rFonts w:ascii="Times New Roman" w:hAnsi="Times New Roman"/>
                <w:sz w:val="20"/>
                <w:szCs w:val="20"/>
              </w:rPr>
              <w:t xml:space="preserve">Самостійна робота – згідно з журналом оцінювання в </w:t>
            </w:r>
            <w:proofErr w:type="spellStart"/>
            <w:r w:rsidRPr="00583C3D">
              <w:rPr>
                <w:rFonts w:ascii="Times New Roman" w:hAnsi="Times New Roman"/>
                <w:sz w:val="20"/>
                <w:szCs w:val="20"/>
              </w:rPr>
              <w:t>eLearn</w:t>
            </w:r>
            <w:proofErr w:type="spellEnd"/>
            <w:r w:rsidRPr="00583C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6582" w:rsidRPr="00264889" w:rsidTr="00A26582">
        <w:tc>
          <w:tcPr>
            <w:tcW w:w="2026" w:type="dxa"/>
          </w:tcPr>
          <w:p w:rsidR="00A26582" w:rsidRPr="00264889" w:rsidRDefault="00A26582" w:rsidP="00BD1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582" w:rsidRPr="00264889" w:rsidRDefault="00A26582" w:rsidP="00BD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Фінанси домогосподарств</w:t>
            </w:r>
          </w:p>
        </w:tc>
        <w:tc>
          <w:tcPr>
            <w:tcW w:w="1371" w:type="dxa"/>
          </w:tcPr>
          <w:p w:rsidR="00A26582" w:rsidRPr="00A26582" w:rsidRDefault="00A2658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82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vMerge/>
          </w:tcPr>
          <w:p w:rsidR="00A26582" w:rsidRPr="00264889" w:rsidRDefault="00A26582" w:rsidP="00A2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26582" w:rsidRPr="00264889" w:rsidRDefault="00A26582" w:rsidP="00380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26582" w:rsidRPr="00264889" w:rsidRDefault="00A26582" w:rsidP="00FC5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582" w:rsidRPr="00264889" w:rsidTr="00A26582">
        <w:tc>
          <w:tcPr>
            <w:tcW w:w="2026" w:type="dxa"/>
          </w:tcPr>
          <w:p w:rsidR="00A26582" w:rsidRPr="00264889" w:rsidRDefault="00A26582" w:rsidP="00BD1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582" w:rsidRPr="00264889" w:rsidRDefault="00A26582" w:rsidP="00BD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Страхування. Страховий ринок</w:t>
            </w:r>
          </w:p>
        </w:tc>
        <w:tc>
          <w:tcPr>
            <w:tcW w:w="1371" w:type="dxa"/>
          </w:tcPr>
          <w:p w:rsidR="00A26582" w:rsidRPr="00A26582" w:rsidRDefault="00A2658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82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vMerge/>
          </w:tcPr>
          <w:p w:rsidR="00A26582" w:rsidRPr="00264889" w:rsidRDefault="00A26582" w:rsidP="00A2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26582" w:rsidRPr="00264889" w:rsidRDefault="00A26582" w:rsidP="00380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26582" w:rsidRPr="00264889" w:rsidRDefault="00A26582" w:rsidP="00264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582" w:rsidRPr="00264889" w:rsidTr="00A26582">
        <w:tc>
          <w:tcPr>
            <w:tcW w:w="2026" w:type="dxa"/>
          </w:tcPr>
          <w:p w:rsidR="00A26582" w:rsidRPr="00264889" w:rsidRDefault="00A26582" w:rsidP="00BD1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582" w:rsidRPr="00264889" w:rsidRDefault="00A26582" w:rsidP="00BD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Фінансовий ринок</w:t>
            </w:r>
          </w:p>
        </w:tc>
        <w:tc>
          <w:tcPr>
            <w:tcW w:w="1371" w:type="dxa"/>
          </w:tcPr>
          <w:p w:rsidR="00A26582" w:rsidRPr="00A26582" w:rsidRDefault="00A2658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82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vMerge/>
          </w:tcPr>
          <w:p w:rsidR="00A26582" w:rsidRPr="00264889" w:rsidRDefault="00A26582" w:rsidP="00A2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26582" w:rsidRPr="00264889" w:rsidRDefault="00A26582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26582" w:rsidRPr="00264889" w:rsidRDefault="00A26582" w:rsidP="00FC5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582" w:rsidRPr="00264889" w:rsidTr="00A26582">
        <w:tc>
          <w:tcPr>
            <w:tcW w:w="2026" w:type="dxa"/>
          </w:tcPr>
          <w:p w:rsidR="00A26582" w:rsidRPr="00264889" w:rsidRDefault="00A26582" w:rsidP="00BD1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582" w:rsidRPr="00264889" w:rsidRDefault="00A26582" w:rsidP="00BD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Фінансовий менеджмен</w:t>
            </w:r>
            <w:bookmarkStart w:id="0" w:name="_GoBack"/>
            <w:bookmarkEnd w:id="0"/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371" w:type="dxa"/>
          </w:tcPr>
          <w:p w:rsidR="00A26582" w:rsidRPr="00A26582" w:rsidRDefault="00A2658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82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vMerge/>
          </w:tcPr>
          <w:p w:rsidR="00A26582" w:rsidRPr="00264889" w:rsidRDefault="00A26582" w:rsidP="00A2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26582" w:rsidRPr="00264889" w:rsidRDefault="00A26582" w:rsidP="00380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26582" w:rsidRPr="00264889" w:rsidRDefault="00A26582" w:rsidP="00FC5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B14" w:rsidRPr="00264889" w:rsidTr="00C035FA">
        <w:tc>
          <w:tcPr>
            <w:tcW w:w="9345" w:type="dxa"/>
            <w:gridSpan w:val="5"/>
          </w:tcPr>
          <w:p w:rsidR="00422B14" w:rsidRPr="00264889" w:rsidRDefault="00786646" w:rsidP="00786646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422B14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64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КРЕДИТ, КРЕДИТНІ ВІДНОСИНИ ТА КРЕДИТНІ СИСТЕМИ. МІЖНАРОДНІ ФІНАНСИ</w:t>
            </w:r>
          </w:p>
        </w:tc>
      </w:tr>
      <w:tr w:rsidR="00A26582" w:rsidRPr="00264889" w:rsidTr="00A26582">
        <w:tc>
          <w:tcPr>
            <w:tcW w:w="2026" w:type="dxa"/>
          </w:tcPr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11</w:t>
            </w:r>
          </w:p>
          <w:p w:rsidR="00A26582" w:rsidRPr="00264889" w:rsidRDefault="00A26582" w:rsidP="0042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Кредит у ринковій економіці</w:t>
            </w:r>
          </w:p>
        </w:tc>
        <w:tc>
          <w:tcPr>
            <w:tcW w:w="1371" w:type="dxa"/>
          </w:tcPr>
          <w:p w:rsidR="00A26582" w:rsidRPr="00A26582" w:rsidRDefault="00A2658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82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vMerge w:val="restart"/>
          </w:tcPr>
          <w:p w:rsidR="00A26582" w:rsidRDefault="00A26582" w:rsidP="0042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роль та місце центрального банку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комерційних банків у фінансово-кредитній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 системі держави </w:t>
            </w:r>
          </w:p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Вміти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аналізувати динаміку зміни кредитних та депозитних ставок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та залучати кредитні ресурси при необхідності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Розуміти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потребу у кредитуванні на рівні підприємства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держави та  фізичних осіб.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Аналізувати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основні показники діяльності центрального банку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комерційних банків, та інших спеціалізованих фінансово-кредитних установ 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6582" w:rsidRDefault="00A26582" w:rsidP="00A26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Розуміти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напрями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співпраці України з МВФ та мутність міжнародних фінансів</w:t>
            </w:r>
          </w:p>
          <w:p w:rsidR="00A26582" w:rsidRPr="00264889" w:rsidRDefault="00A26582" w:rsidP="00A2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Вміти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аналізувати розміри фінансової допомоги та механізм погашення міжнародних позик</w:t>
            </w:r>
          </w:p>
        </w:tc>
        <w:tc>
          <w:tcPr>
            <w:tcW w:w="1417" w:type="dxa"/>
            <w:vMerge w:val="restart"/>
          </w:tcPr>
          <w:p w:rsidR="00A26582" w:rsidRPr="00875C5D" w:rsidRDefault="00A26582" w:rsidP="00A26582">
            <w:pPr>
              <w:rPr>
                <w:rFonts w:ascii="Times New Roman" w:hAnsi="Times New Roman"/>
                <w:sz w:val="20"/>
                <w:szCs w:val="20"/>
              </w:rPr>
            </w:pPr>
            <w:r w:rsidRPr="00875C5D">
              <w:rPr>
                <w:rFonts w:ascii="Times New Roman" w:hAnsi="Times New Roman"/>
                <w:sz w:val="20"/>
                <w:szCs w:val="20"/>
              </w:rPr>
              <w:lastRenderedPageBreak/>
              <w:t>Написання тестів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розв’язок задач, </w:t>
            </w:r>
          </w:p>
          <w:p w:rsidR="00A26582" w:rsidRPr="00875C5D" w:rsidRDefault="00A26582" w:rsidP="00A26582">
            <w:pPr>
              <w:rPr>
                <w:rFonts w:ascii="Times New Roman" w:hAnsi="Times New Roman"/>
                <w:sz w:val="20"/>
                <w:szCs w:val="20"/>
              </w:rPr>
            </w:pPr>
            <w:r w:rsidRPr="00875C5D">
              <w:rPr>
                <w:rFonts w:ascii="Times New Roman" w:hAnsi="Times New Roman"/>
                <w:sz w:val="20"/>
                <w:szCs w:val="20"/>
              </w:rPr>
              <w:t>Систематизація матеріалів в запропоновані таблиці</w:t>
            </w:r>
          </w:p>
          <w:p w:rsidR="00A26582" w:rsidRPr="00875C5D" w:rsidRDefault="00A26582" w:rsidP="00A26582">
            <w:pPr>
              <w:rPr>
                <w:rFonts w:ascii="Times New Roman" w:hAnsi="Times New Roman"/>
                <w:sz w:val="20"/>
                <w:szCs w:val="20"/>
              </w:rPr>
            </w:pPr>
            <w:r w:rsidRPr="00875C5D">
              <w:rPr>
                <w:rFonts w:ascii="Times New Roman" w:hAnsi="Times New Roman"/>
                <w:sz w:val="20"/>
                <w:szCs w:val="20"/>
              </w:rPr>
              <w:t>Доповідь з презентацією</w:t>
            </w:r>
          </w:p>
          <w:p w:rsidR="00A26582" w:rsidRPr="00264889" w:rsidRDefault="00A26582" w:rsidP="00A2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5D">
              <w:rPr>
                <w:rFonts w:ascii="Times New Roman" w:hAnsi="Times New Roman"/>
                <w:sz w:val="20"/>
                <w:szCs w:val="20"/>
              </w:rPr>
              <w:t>Бізнес кейс</w:t>
            </w:r>
          </w:p>
        </w:tc>
        <w:tc>
          <w:tcPr>
            <w:tcW w:w="1412" w:type="dxa"/>
            <w:vMerge w:val="restart"/>
          </w:tcPr>
          <w:p w:rsidR="00A26582" w:rsidRPr="00583C3D" w:rsidRDefault="00A26582" w:rsidP="00A541CD">
            <w:pPr>
              <w:rPr>
                <w:rFonts w:ascii="Times New Roman" w:hAnsi="Times New Roman"/>
                <w:sz w:val="20"/>
                <w:szCs w:val="20"/>
              </w:rPr>
            </w:pPr>
            <w:r w:rsidRPr="00583C3D">
              <w:rPr>
                <w:rFonts w:ascii="Times New Roman" w:hAnsi="Times New Roman"/>
                <w:sz w:val="20"/>
                <w:szCs w:val="20"/>
              </w:rPr>
              <w:t>Виконання практичних робіт – зараховано.</w:t>
            </w:r>
          </w:p>
          <w:p w:rsidR="00A26582" w:rsidRPr="00583C3D" w:rsidRDefault="00A26582" w:rsidP="00A541CD">
            <w:pPr>
              <w:rPr>
                <w:rFonts w:ascii="Times New Roman" w:hAnsi="Times New Roman"/>
                <w:sz w:val="20"/>
                <w:szCs w:val="20"/>
              </w:rPr>
            </w:pPr>
            <w:r w:rsidRPr="00583C3D">
              <w:rPr>
                <w:rFonts w:ascii="Times New Roman" w:hAnsi="Times New Roman"/>
                <w:sz w:val="20"/>
                <w:szCs w:val="20"/>
              </w:rPr>
              <w:t xml:space="preserve">Модульна тестова робота в </w:t>
            </w:r>
            <w:proofErr w:type="spellStart"/>
            <w:r w:rsidRPr="00583C3D">
              <w:rPr>
                <w:rFonts w:ascii="Times New Roman" w:hAnsi="Times New Roman"/>
                <w:sz w:val="20"/>
                <w:szCs w:val="20"/>
              </w:rPr>
              <w:t>eLearn</w:t>
            </w:r>
            <w:proofErr w:type="spellEnd"/>
            <w:r w:rsidRPr="00583C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6582" w:rsidRPr="00264889" w:rsidRDefault="00A26582" w:rsidP="00A54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C3D">
              <w:rPr>
                <w:rFonts w:ascii="Times New Roman" w:hAnsi="Times New Roman"/>
                <w:sz w:val="20"/>
                <w:szCs w:val="20"/>
              </w:rPr>
              <w:t xml:space="preserve">Самостійна робота – згідно з журналом оцінювання в </w:t>
            </w:r>
            <w:proofErr w:type="spellStart"/>
            <w:r w:rsidRPr="00583C3D">
              <w:rPr>
                <w:rFonts w:ascii="Times New Roman" w:hAnsi="Times New Roman"/>
                <w:sz w:val="20"/>
                <w:szCs w:val="20"/>
              </w:rPr>
              <w:t>eLearn</w:t>
            </w:r>
            <w:proofErr w:type="spellEnd"/>
            <w:r w:rsidRPr="00583C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6582" w:rsidRPr="00264889" w:rsidTr="00A26582">
        <w:tc>
          <w:tcPr>
            <w:tcW w:w="2026" w:type="dxa"/>
          </w:tcPr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12</w:t>
            </w:r>
          </w:p>
          <w:p w:rsidR="00A26582" w:rsidRPr="00264889" w:rsidRDefault="00A26582" w:rsidP="0042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Центральний банк і його роль в економіці</w:t>
            </w:r>
          </w:p>
        </w:tc>
        <w:tc>
          <w:tcPr>
            <w:tcW w:w="1371" w:type="dxa"/>
          </w:tcPr>
          <w:p w:rsidR="00A26582" w:rsidRPr="00A26582" w:rsidRDefault="00A2658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82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vMerge/>
          </w:tcPr>
          <w:p w:rsidR="00A26582" w:rsidRPr="00264889" w:rsidRDefault="00A26582" w:rsidP="00A26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26582" w:rsidRPr="00264889" w:rsidRDefault="00A26582" w:rsidP="00643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26582" w:rsidRPr="00264889" w:rsidRDefault="00A26582" w:rsidP="00FC5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582" w:rsidRPr="00264889" w:rsidTr="00A26582">
        <w:tc>
          <w:tcPr>
            <w:tcW w:w="2026" w:type="dxa"/>
          </w:tcPr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13</w:t>
            </w:r>
          </w:p>
          <w:p w:rsidR="00A26582" w:rsidRPr="00264889" w:rsidRDefault="00A26582" w:rsidP="0042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Комерційний банк як основна ланка фінансово-кредитної системи</w:t>
            </w:r>
          </w:p>
        </w:tc>
        <w:tc>
          <w:tcPr>
            <w:tcW w:w="1371" w:type="dxa"/>
          </w:tcPr>
          <w:p w:rsidR="00A26582" w:rsidRPr="00A26582" w:rsidRDefault="00A2658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82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vMerge/>
          </w:tcPr>
          <w:p w:rsidR="00A26582" w:rsidRPr="00264889" w:rsidRDefault="00A26582" w:rsidP="00422B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26582" w:rsidRPr="00264889" w:rsidRDefault="00A26582" w:rsidP="00643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26582" w:rsidRPr="00264889" w:rsidRDefault="00A26582" w:rsidP="00FC5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582" w:rsidRPr="00264889" w:rsidTr="00A26582">
        <w:tc>
          <w:tcPr>
            <w:tcW w:w="2026" w:type="dxa"/>
          </w:tcPr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14</w:t>
            </w:r>
          </w:p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Спеціалізовані фінансово-кредитні установи</w:t>
            </w:r>
          </w:p>
        </w:tc>
        <w:tc>
          <w:tcPr>
            <w:tcW w:w="1371" w:type="dxa"/>
          </w:tcPr>
          <w:p w:rsidR="00A26582" w:rsidRPr="00A26582" w:rsidRDefault="00A2658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82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vMerge/>
          </w:tcPr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26582" w:rsidRPr="00264889" w:rsidRDefault="00A26582" w:rsidP="00FC5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582" w:rsidRPr="00264889" w:rsidTr="00A26582">
        <w:tc>
          <w:tcPr>
            <w:tcW w:w="2026" w:type="dxa"/>
          </w:tcPr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Тема 15</w:t>
            </w:r>
          </w:p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Міжнародні фінанси та фінансова безпека держави</w:t>
            </w:r>
          </w:p>
        </w:tc>
        <w:tc>
          <w:tcPr>
            <w:tcW w:w="1371" w:type="dxa"/>
          </w:tcPr>
          <w:p w:rsidR="00A26582" w:rsidRPr="00A26582" w:rsidRDefault="00A2658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2/2</w:t>
            </w:r>
          </w:p>
        </w:tc>
        <w:tc>
          <w:tcPr>
            <w:tcW w:w="3119" w:type="dxa"/>
            <w:vMerge/>
          </w:tcPr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26582" w:rsidRPr="00264889" w:rsidRDefault="00A26582" w:rsidP="00422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26582" w:rsidRPr="00264889" w:rsidRDefault="00A26582" w:rsidP="00FC5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459" w:rsidRPr="00264889" w:rsidTr="0088443A">
        <w:tc>
          <w:tcPr>
            <w:tcW w:w="7933" w:type="dxa"/>
            <w:gridSpan w:val="4"/>
          </w:tcPr>
          <w:p w:rsidR="00544D46" w:rsidRPr="00264889" w:rsidRDefault="00544D46" w:rsidP="00130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Всього за 1 семестр</w:t>
            </w:r>
          </w:p>
        </w:tc>
        <w:tc>
          <w:tcPr>
            <w:tcW w:w="1412" w:type="dxa"/>
          </w:tcPr>
          <w:p w:rsidR="00544D46" w:rsidRPr="00264889" w:rsidRDefault="00FC5903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487459" w:rsidRPr="00264889" w:rsidTr="00A26582">
        <w:tc>
          <w:tcPr>
            <w:tcW w:w="2026" w:type="dxa"/>
          </w:tcPr>
          <w:p w:rsidR="00544D46" w:rsidRPr="0026488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371" w:type="dxa"/>
          </w:tcPr>
          <w:p w:rsidR="00544D46" w:rsidRPr="0026488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44D46" w:rsidRPr="0026488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44D46" w:rsidRPr="0026488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44D46" w:rsidRPr="00264889" w:rsidRDefault="00FC5903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44D46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7459" w:rsidRPr="00264889" w:rsidTr="0088443A">
        <w:tc>
          <w:tcPr>
            <w:tcW w:w="7933" w:type="dxa"/>
            <w:gridSpan w:val="4"/>
          </w:tcPr>
          <w:p w:rsidR="00544D46" w:rsidRPr="00264889" w:rsidRDefault="00544D46" w:rsidP="00130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1412" w:type="dxa"/>
          </w:tcPr>
          <w:p w:rsidR="00544D46" w:rsidRPr="00264889" w:rsidRDefault="00FC5903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</w:tbl>
    <w:p w:rsidR="008333CA" w:rsidRPr="00264889" w:rsidRDefault="008333CA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130933" w:rsidRPr="0026488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264889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130933" w:rsidRPr="00264889" w:rsidTr="008333CA">
        <w:tc>
          <w:tcPr>
            <w:tcW w:w="1838" w:type="dxa"/>
          </w:tcPr>
          <w:p w:rsidR="00130933" w:rsidRPr="00264889" w:rsidRDefault="00130933" w:rsidP="0083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Політика щодо </w:t>
            </w:r>
            <w:proofErr w:type="spellStart"/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дедлайнів</w:t>
            </w:r>
            <w:proofErr w:type="spellEnd"/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 та перескладання:</w:t>
            </w:r>
          </w:p>
        </w:tc>
        <w:tc>
          <w:tcPr>
            <w:tcW w:w="7507" w:type="dxa"/>
          </w:tcPr>
          <w:p w:rsidR="00130933" w:rsidRPr="00264889" w:rsidRDefault="00544D46" w:rsidP="00544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264889" w:rsidTr="008333CA">
        <w:tc>
          <w:tcPr>
            <w:tcW w:w="1838" w:type="dxa"/>
          </w:tcPr>
          <w:p w:rsidR="00130933" w:rsidRPr="00264889" w:rsidRDefault="00544D46" w:rsidP="0083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Політика щодо академічної доброчесності:</w:t>
            </w:r>
          </w:p>
        </w:tc>
        <w:tc>
          <w:tcPr>
            <w:tcW w:w="7507" w:type="dxa"/>
          </w:tcPr>
          <w:p w:rsidR="00130933" w:rsidRPr="00264889" w:rsidRDefault="00544D46" w:rsidP="00544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264889" w:rsidTr="008333CA">
        <w:tc>
          <w:tcPr>
            <w:tcW w:w="1838" w:type="dxa"/>
          </w:tcPr>
          <w:p w:rsidR="00130933" w:rsidRPr="00264889" w:rsidRDefault="00544D46" w:rsidP="0083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Політика щодо відвідування:</w:t>
            </w:r>
          </w:p>
        </w:tc>
        <w:tc>
          <w:tcPr>
            <w:tcW w:w="7507" w:type="dxa"/>
          </w:tcPr>
          <w:p w:rsidR="00130933" w:rsidRPr="00264889" w:rsidRDefault="00544D46" w:rsidP="00A7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264889">
              <w:rPr>
                <w:rFonts w:ascii="Times New Roman" w:hAnsi="Times New Roman" w:cs="Times New Roman"/>
                <w:sz w:val="20"/>
                <w:szCs w:val="20"/>
              </w:rPr>
              <w:t>деканом факультету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30933" w:rsidRPr="00264889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0933" w:rsidRPr="00264889" w:rsidRDefault="00130933" w:rsidP="001309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933" w:rsidRPr="0026488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264889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3903"/>
        <w:gridCol w:w="3114"/>
      </w:tblGrid>
      <w:tr w:rsidR="00A71D92" w:rsidRPr="00264889" w:rsidTr="00D323FC">
        <w:tc>
          <w:tcPr>
            <w:tcW w:w="2376" w:type="dxa"/>
            <w:vMerge w:val="restart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Оцінка національна за результати складання екзаменів заліків</w:t>
            </w:r>
          </w:p>
        </w:tc>
      </w:tr>
      <w:tr w:rsidR="00A71D92" w:rsidRPr="00264889" w:rsidTr="00A71D92">
        <w:tc>
          <w:tcPr>
            <w:tcW w:w="2376" w:type="dxa"/>
            <w:vMerge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4" w:type="dxa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A96EF1"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заменів</w:t>
            </w:r>
          </w:p>
        </w:tc>
        <w:tc>
          <w:tcPr>
            <w:tcW w:w="3191" w:type="dxa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b/>
                <w:sz w:val="20"/>
                <w:szCs w:val="20"/>
              </w:rPr>
              <w:t>заліків</w:t>
            </w:r>
          </w:p>
        </w:tc>
      </w:tr>
      <w:tr w:rsidR="00A71D92" w:rsidRPr="00264889" w:rsidTr="00A71D92">
        <w:tc>
          <w:tcPr>
            <w:tcW w:w="2376" w:type="dxa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4004" w:type="dxa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A71D92" w:rsidRPr="00264889" w:rsidTr="00A71D92">
        <w:tc>
          <w:tcPr>
            <w:tcW w:w="2376" w:type="dxa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74-89</w:t>
            </w:r>
          </w:p>
        </w:tc>
        <w:tc>
          <w:tcPr>
            <w:tcW w:w="4004" w:type="dxa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92" w:rsidRPr="00264889" w:rsidTr="00A71D92">
        <w:tc>
          <w:tcPr>
            <w:tcW w:w="2376" w:type="dxa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60-73</w:t>
            </w:r>
          </w:p>
        </w:tc>
        <w:tc>
          <w:tcPr>
            <w:tcW w:w="4004" w:type="dxa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D92" w:rsidRPr="00264889" w:rsidTr="00A71D92">
        <w:tc>
          <w:tcPr>
            <w:tcW w:w="2376" w:type="dxa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4004" w:type="dxa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3191" w:type="dxa"/>
          </w:tcPr>
          <w:p w:rsidR="00A71D92" w:rsidRPr="00264889" w:rsidRDefault="00A71D92" w:rsidP="00130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96EF1" w:rsidRPr="00264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889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</w:tbl>
    <w:p w:rsidR="00544D46" w:rsidRPr="00264889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4D46" w:rsidRPr="00264889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44D46" w:rsidRPr="00264889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80B59"/>
    <w:rsid w:val="00081BCC"/>
    <w:rsid w:val="00130933"/>
    <w:rsid w:val="00134BF8"/>
    <w:rsid w:val="001431F8"/>
    <w:rsid w:val="001E265F"/>
    <w:rsid w:val="0020200E"/>
    <w:rsid w:val="002401AD"/>
    <w:rsid w:val="00246136"/>
    <w:rsid w:val="00264889"/>
    <w:rsid w:val="002C7B75"/>
    <w:rsid w:val="002F0DA1"/>
    <w:rsid w:val="002F1584"/>
    <w:rsid w:val="003767DD"/>
    <w:rsid w:val="003809FB"/>
    <w:rsid w:val="00422B14"/>
    <w:rsid w:val="00436667"/>
    <w:rsid w:val="00462BBF"/>
    <w:rsid w:val="00487459"/>
    <w:rsid w:val="00512FA0"/>
    <w:rsid w:val="00544D46"/>
    <w:rsid w:val="00581698"/>
    <w:rsid w:val="005D323C"/>
    <w:rsid w:val="005E1637"/>
    <w:rsid w:val="006437ED"/>
    <w:rsid w:val="00654D54"/>
    <w:rsid w:val="00786646"/>
    <w:rsid w:val="00816D7A"/>
    <w:rsid w:val="008333CA"/>
    <w:rsid w:val="00880706"/>
    <w:rsid w:val="0088443A"/>
    <w:rsid w:val="008927AA"/>
    <w:rsid w:val="009D6D29"/>
    <w:rsid w:val="00A26582"/>
    <w:rsid w:val="00A47B73"/>
    <w:rsid w:val="00A541CD"/>
    <w:rsid w:val="00A71D92"/>
    <w:rsid w:val="00A7538E"/>
    <w:rsid w:val="00A96EF1"/>
    <w:rsid w:val="00AA6A84"/>
    <w:rsid w:val="00BD17E4"/>
    <w:rsid w:val="00C24A49"/>
    <w:rsid w:val="00CF30FD"/>
    <w:rsid w:val="00D323FC"/>
    <w:rsid w:val="00D3537F"/>
    <w:rsid w:val="00DD7841"/>
    <w:rsid w:val="00DE1861"/>
    <w:rsid w:val="00EC07A1"/>
    <w:rsid w:val="00ED3451"/>
    <w:rsid w:val="00ED7E76"/>
    <w:rsid w:val="00F82151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8159"/>
  <w15:docId w15:val="{3F00C10D-BB1E-467E-8C3C-8D65A95C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5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course/view.php?id=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4410</Words>
  <Characters>2515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Користувач Windows</cp:lastModifiedBy>
  <cp:revision>2</cp:revision>
  <cp:lastPrinted>2020-06-14T15:11:00Z</cp:lastPrinted>
  <dcterms:created xsi:type="dcterms:W3CDTF">2021-06-08T12:14:00Z</dcterms:created>
  <dcterms:modified xsi:type="dcterms:W3CDTF">2021-06-08T12:14:00Z</dcterms:modified>
</cp:coreProperties>
</file>