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997E97" wp14:editId="2C9A432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351296" w:rsidP="0067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2237">
              <w:rPr>
                <w:rFonts w:ascii="Times New Roman" w:hAnsi="Times New Roman" w:cs="Times New Roman"/>
                <w:b/>
                <w:sz w:val="24"/>
                <w:szCs w:val="24"/>
              </w:rPr>
              <w:t>ГІГІЄНА КОРМІВ І КОРМОВИХ ДОБАВОК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129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CD14E8" w:rsidRDefault="00A96EF1" w:rsidP="00CD14E8">
            <w:pPr>
              <w:ind w:left="1621" w:hanging="1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CD14E8"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212 Ветеринарна гігієна, санітарія і 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CD14E8" w:rsidP="00CD14E8">
            <w:pPr>
              <w:ind w:left="3463" w:hanging="3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</w:t>
            </w:r>
            <w:r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Ветеринарна гігієна, санітарія і експертиза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2020-2021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семестр </w:t>
            </w:r>
            <w:r w:rsidR="006722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:rsidR="0020200E" w:rsidRPr="00A71D92" w:rsidRDefault="00CD14E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2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CD14E8" w:rsidRDefault="0020200E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A96EF1" w:rsidRPr="00A71D92" w:rsidTr="00D968D3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D968D3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A96EF1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Шевченко Л.В.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98" w:rsidRPr="00D968D3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shevtshenko_lv@nubip.edu.ua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FD6AF9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6B04D4" w:rsidRPr="006B04D4" w:rsidRDefault="00B519C3" w:rsidP="006B04D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2"/>
          <w:sz w:val="24"/>
          <w:szCs w:val="24"/>
        </w:rPr>
      </w:pPr>
      <w:r w:rsidRPr="006B04D4">
        <w:rPr>
          <w:shd w:val="clear" w:color="auto" w:fill="FFFFFF"/>
          <w:lang w:val="uk-UA"/>
        </w:rPr>
        <w:t xml:space="preserve">Дисципліна </w:t>
      </w:r>
      <w:r w:rsidR="006B04D4">
        <w:rPr>
          <w:b/>
          <w:lang w:val="uk-UA"/>
        </w:rPr>
        <w:t xml:space="preserve">Гігієна кормів і кормових добавок </w:t>
      </w:r>
      <w:r w:rsidR="006B04D4" w:rsidRPr="006B04D4">
        <w:rPr>
          <w:lang w:val="uk-UA"/>
        </w:rPr>
        <w:t xml:space="preserve">вивчає </w:t>
      </w:r>
      <w:r w:rsidR="009557F6" w:rsidRPr="006B04D4">
        <w:rPr>
          <w:lang w:val="uk-UA"/>
        </w:rPr>
        <w:t xml:space="preserve">санітарно-гігієнічні вимоги до виробництва, переробки, зберігання, використання </w:t>
      </w:r>
      <w:r w:rsidR="006B04D4">
        <w:rPr>
          <w:lang w:val="uk-UA"/>
        </w:rPr>
        <w:t xml:space="preserve">кормів і кормових добавок </w:t>
      </w:r>
      <w:r w:rsidR="009557F6" w:rsidRPr="006B04D4">
        <w:rPr>
          <w:lang w:val="uk-UA"/>
        </w:rPr>
        <w:t>та контролю забезпечення тварин поживними та біологічно активними речовинами</w:t>
      </w:r>
      <w:r w:rsidRPr="006B04D4">
        <w:rPr>
          <w:shd w:val="clear" w:color="auto" w:fill="FFFFFF"/>
          <w:lang w:val="uk-UA"/>
        </w:rPr>
        <w:t>.</w:t>
      </w:r>
      <w:r w:rsidR="006B04D4" w:rsidRPr="006B04D4">
        <w:rPr>
          <w:rStyle w:val="2"/>
          <w:sz w:val="24"/>
          <w:szCs w:val="24"/>
        </w:rPr>
        <w:t xml:space="preserve"> </w:t>
      </w:r>
      <w:r w:rsidR="006B04D4">
        <w:rPr>
          <w:rStyle w:val="2"/>
          <w:sz w:val="24"/>
          <w:szCs w:val="24"/>
        </w:rPr>
        <w:t>Дисципліна формує у студентів з</w:t>
      </w:r>
      <w:r w:rsidR="006B04D4" w:rsidRPr="006B04D4">
        <w:rPr>
          <w:rStyle w:val="2"/>
          <w:sz w:val="24"/>
          <w:szCs w:val="24"/>
        </w:rPr>
        <w:t>датність аналізувати загальні принципи, які застосовують до харчових продуктів і кормів загалом та безпечності харчових продуктів і кормів зокрема, на національному рівні та на рівні Європейського співтовариства.</w:t>
      </w:r>
    </w:p>
    <w:p w:rsidR="006B04D4" w:rsidRPr="006B04D4" w:rsidRDefault="006B04D4" w:rsidP="006B04D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2Exact"/>
          <w:sz w:val="24"/>
          <w:szCs w:val="24"/>
          <w:lang w:val="ru-RU"/>
        </w:rPr>
      </w:pPr>
      <w:r w:rsidRPr="006B04D4">
        <w:rPr>
          <w:rStyle w:val="2"/>
          <w:sz w:val="24"/>
          <w:szCs w:val="24"/>
        </w:rPr>
        <w:t xml:space="preserve">Здатність проводити державний аудит на підконтрольних </w:t>
      </w:r>
      <w:proofErr w:type="spellStart"/>
      <w:r w:rsidRPr="006B04D4">
        <w:rPr>
          <w:rStyle w:val="2"/>
          <w:sz w:val="24"/>
          <w:szCs w:val="24"/>
        </w:rPr>
        <w:t>потужностях</w:t>
      </w:r>
      <w:proofErr w:type="spellEnd"/>
      <w:r w:rsidRPr="006B04D4">
        <w:rPr>
          <w:rStyle w:val="2"/>
          <w:sz w:val="24"/>
          <w:szCs w:val="24"/>
        </w:rPr>
        <w:t xml:space="preserve"> з виробництва, переробки, обігу харчових продуктів, кормів, кормових добавок, </w:t>
      </w:r>
      <w:proofErr w:type="spellStart"/>
      <w:r w:rsidRPr="006B04D4">
        <w:rPr>
          <w:rStyle w:val="2"/>
          <w:sz w:val="24"/>
          <w:szCs w:val="24"/>
        </w:rPr>
        <w:t>преміксів</w:t>
      </w:r>
      <w:proofErr w:type="spellEnd"/>
      <w:r w:rsidRPr="006B04D4">
        <w:rPr>
          <w:rStyle w:val="2"/>
          <w:sz w:val="24"/>
          <w:szCs w:val="24"/>
        </w:rPr>
        <w:t xml:space="preserve">, ветеринарних препаратів, побічних продуктів згідно із системою </w:t>
      </w:r>
      <w:r w:rsidRPr="006B04D4">
        <w:rPr>
          <w:rStyle w:val="2"/>
          <w:sz w:val="24"/>
          <w:szCs w:val="24"/>
          <w:lang w:val="ru-RU" w:eastAsia="ru-RU" w:bidi="ru-RU"/>
        </w:rPr>
        <w:t xml:space="preserve">менеджменту </w:t>
      </w:r>
      <w:r w:rsidRPr="006B04D4">
        <w:rPr>
          <w:rStyle w:val="2"/>
          <w:sz w:val="24"/>
          <w:szCs w:val="24"/>
        </w:rPr>
        <w:t>безпечності харчових продуктів та контролювати систему моніторингу для кожної критичної точки управління (КТУ) під час виробництва продукції.</w:t>
      </w:r>
    </w:p>
    <w:p w:rsidR="006B04D4" w:rsidRPr="006B04D4" w:rsidRDefault="006B04D4" w:rsidP="006B04D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B04D4">
        <w:rPr>
          <w:rStyle w:val="2Exact"/>
          <w:sz w:val="24"/>
          <w:szCs w:val="24"/>
          <w:lang w:val="uk-UA"/>
        </w:rPr>
        <w:t xml:space="preserve">Здатність здійснювати ветеринарно-санітарний контроль виробництва та обігу кормів, кормових добавок, </w:t>
      </w:r>
      <w:proofErr w:type="spellStart"/>
      <w:r w:rsidRPr="006B04D4">
        <w:rPr>
          <w:rStyle w:val="2Exact"/>
          <w:sz w:val="24"/>
          <w:szCs w:val="24"/>
          <w:lang w:val="uk-UA"/>
        </w:rPr>
        <w:t>преміксів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 тощо на підконтрольних </w:t>
      </w:r>
      <w:proofErr w:type="spellStart"/>
      <w:r w:rsidRPr="006B04D4">
        <w:rPr>
          <w:rStyle w:val="2Exact"/>
          <w:sz w:val="24"/>
          <w:szCs w:val="24"/>
          <w:lang w:val="uk-UA"/>
        </w:rPr>
        <w:t>потужностях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, </w:t>
      </w:r>
      <w:proofErr w:type="spellStart"/>
      <w:r w:rsidRPr="006B04D4">
        <w:rPr>
          <w:rStyle w:val="2Exact"/>
          <w:sz w:val="24"/>
          <w:szCs w:val="24"/>
          <w:lang w:val="uk-UA"/>
        </w:rPr>
        <w:t>грамотно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 використовувати методики їх дослідження та проводити їхнє санітарне оцінювання.</w:t>
      </w:r>
    </w:p>
    <w:p w:rsidR="00EC07A1" w:rsidRPr="00B519C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519C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3253"/>
        <w:gridCol w:w="2134"/>
        <w:gridCol w:w="1128"/>
      </w:tblGrid>
      <w:tr w:rsidR="00FD2FB3" w:rsidRPr="00AE5EAC" w:rsidTr="0083022C">
        <w:tc>
          <w:tcPr>
            <w:tcW w:w="1696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AE5EAC" w:rsidRDefault="00EC07A1" w:rsidP="00FD2FB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  <w:r w:rsidR="00FD2FB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="00FD2FB3" w:rsidRPr="00AE5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A96EF1" w:rsidRPr="00AE5E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58EC" w:rsidRPr="00AE5E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34" w:type="dxa"/>
            <w:vAlign w:val="center"/>
          </w:tcPr>
          <w:p w:rsidR="00EC07A1" w:rsidRPr="00AE5EAC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28" w:type="dxa"/>
            <w:vAlign w:val="center"/>
          </w:tcPr>
          <w:p w:rsidR="00EC07A1" w:rsidRPr="00AE5EAC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Оціню</w:t>
            </w:r>
            <w:r w:rsidR="00FD2FB3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FD2FB3" w:rsidRPr="00AE5EAC" w:rsidTr="00B658EC">
        <w:tc>
          <w:tcPr>
            <w:tcW w:w="9345" w:type="dxa"/>
            <w:gridSpan w:val="5"/>
          </w:tcPr>
          <w:p w:rsidR="00544D46" w:rsidRPr="00AE5EAC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06554" w:rsidRPr="00AE5EAC" w:rsidTr="0083022C">
        <w:tc>
          <w:tcPr>
            <w:tcW w:w="1696" w:type="dxa"/>
          </w:tcPr>
          <w:p w:rsidR="00106554" w:rsidRPr="00AE5EAC" w:rsidRDefault="00106554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1. Вступ. </w:t>
            </w:r>
            <w:r w:rsidRPr="00AE5EA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ормативні документи з оцінки якості і безпечності кормів та кормових добавок. </w:t>
            </w:r>
          </w:p>
        </w:tc>
        <w:tc>
          <w:tcPr>
            <w:tcW w:w="1134" w:type="dxa"/>
            <w:vAlign w:val="center"/>
          </w:tcPr>
          <w:p w:rsidR="00106554" w:rsidRPr="00AE5EAC" w:rsidRDefault="00106554" w:rsidP="001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106554" w:rsidRPr="00AE5EAC" w:rsidRDefault="00CB09BE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Знати нормативно-правові документи, що регламентують контроль якості та безпечності кормів, сировини та кормових добавок в Україні та ЄС.</w:t>
            </w:r>
          </w:p>
          <w:p w:rsidR="00CB09BE" w:rsidRPr="00AE5EAC" w:rsidRDefault="00CB09BE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Знати правила відбору і формування середніх проб кормів для аналізу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, а також правила роботи в лабораторії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AE8" w:rsidRPr="00AE5EAC" w:rsidRDefault="00FC6AE8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Вміти відбирати проби кормів з використанням пробовідбірників різного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типу, формувати середню пробу корму для аналізу, оформляти супровідні документи.</w:t>
            </w:r>
          </w:p>
        </w:tc>
        <w:tc>
          <w:tcPr>
            <w:tcW w:w="2134" w:type="dxa"/>
          </w:tcPr>
          <w:p w:rsidR="00106554" w:rsidRPr="00AE5EAC" w:rsidRDefault="00106554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з конспектом.</w:t>
            </w:r>
          </w:p>
          <w:p w:rsidR="00106554" w:rsidRPr="00AE5EAC" w:rsidRDefault="00106554" w:rsidP="00FC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AE8" w:rsidRPr="00AE5EAC">
              <w:rPr>
                <w:rFonts w:ascii="Times New Roman" w:hAnsi="Times New Roman" w:cs="Times New Roman"/>
                <w:bCs/>
                <w:sz w:val="24"/>
                <w:szCs w:val="24"/>
              </w:rPr>
              <w:t>Хвороби тварин та людини, що передаються через воду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106554" w:rsidRPr="00AE5EAC" w:rsidRDefault="00584D86" w:rsidP="001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06554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83022C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2. Класифікація кормів за хімічним складом. Класифікація кормових добавок, їх призначення.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Знати класифікацію кормів за хімічним складом, знати класифікацію кормових добавок та їх призначення і використання при виготовленні кормів.</w:t>
            </w:r>
          </w:p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Вміти проводити органолептичні дослідження кормів і кормових добавок з позиції оцінки їх безпечності для тварин.</w:t>
            </w:r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>Вміти здійснювати оцінку якості соковитих та консервованих кормів.</w:t>
            </w:r>
          </w:p>
        </w:tc>
        <w:tc>
          <w:tcPr>
            <w:tcW w:w="2134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конспектом.</w:t>
            </w:r>
          </w:p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«</w:t>
            </w:r>
            <w:r w:rsidR="003214E6" w:rsidRPr="00AE5EAC">
              <w:rPr>
                <w:rFonts w:ascii="Times New Roman" w:hAnsi="Times New Roman" w:cs="Times New Roman"/>
                <w:sz w:val="24"/>
                <w:szCs w:val="24"/>
              </w:rPr>
              <w:t>Корми, що містять радіонукліди та їх гігієнічна оцінка.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83022C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3. Контроль якості кормів. Основні критерії оцінки поживності кормів.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F4667" w:rsidRPr="00AE5EAC" w:rsidRDefault="00DD6B34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Знати критерії оцінки якості кормів та кормових добавок. Знати основні критерії оцінки поживності кормів і їх роль у профілактиці незаразних захворювань тварин. Знати вимоги чинних нормативно-правових актів, які регламентують вимоги до контролю якості кормів.</w:t>
            </w:r>
          </w:p>
          <w:p w:rsidR="009D47D6" w:rsidRPr="00AE5EAC" w:rsidRDefault="00DD6B34" w:rsidP="009D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Вміти визначати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атур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  <w:r w:rsidR="009D47D6" w:rsidRPr="00AE5EAC">
              <w:rPr>
                <w:rFonts w:ascii="Times New Roman" w:hAnsi="Times New Roman" w:cs="Times New Roman"/>
                <w:sz w:val="24"/>
                <w:szCs w:val="24"/>
              </w:rPr>
              <w:t>, використовувати м</w:t>
            </w:r>
            <w:r w:rsidR="009D47D6" w:rsidRPr="00AE5EAC">
              <w:rPr>
                <w:rFonts w:ascii="Times New Roman" w:hAnsi="Times New Roman" w:cs="Times New Roman"/>
                <w:sz w:val="24"/>
                <w:szCs w:val="24"/>
              </w:rPr>
              <w:t>етоди аналізу хімічного складу і поживних речовин кормів та кормових добавок</w:t>
            </w:r>
          </w:p>
        </w:tc>
        <w:tc>
          <w:tcPr>
            <w:tcW w:w="2134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DD6B34" w:rsidRPr="00AE5EAC">
              <w:rPr>
                <w:rFonts w:ascii="Times New Roman" w:hAnsi="Times New Roman" w:cs="Times New Roman"/>
                <w:sz w:val="24"/>
                <w:szCs w:val="24"/>
              </w:rPr>
              <w:t>визначення натури зерна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667" w:rsidRPr="00AE5EAC" w:rsidRDefault="007F4667" w:rsidP="00DD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</w:t>
            </w:r>
            <w:r w:rsidR="00DD6B34" w:rsidRPr="00AE5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B34"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Профілактика отруєння тварин соланіном, госіполом та ціанідами</w:t>
            </w:r>
            <w:r w:rsidR="00DD6B34"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ED52E0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4. Фізичний стан кормів і механічні домішки.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F4667" w:rsidRPr="00AE5EAC" w:rsidRDefault="002029CB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основні вимоги до </w:t>
            </w:r>
            <w:r w:rsidR="00CF6104" w:rsidRPr="00AE5EAC">
              <w:rPr>
                <w:rFonts w:ascii="Times New Roman" w:hAnsi="Times New Roman" w:cs="Times New Roman"/>
                <w:sz w:val="24"/>
                <w:szCs w:val="24"/>
              </w:rPr>
              <w:t>контролю фізичного стану кормів. Аналізувати причини небезпеки забруднення кормів та кормових добавок механічними домішками.</w:t>
            </w:r>
          </w:p>
          <w:p w:rsidR="00487875" w:rsidRPr="00AE5EAC" w:rsidRDefault="00487875" w:rsidP="0048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Вміти здійснювати оцінку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якості зернофуражу</w:t>
            </w:r>
          </w:p>
        </w:tc>
        <w:tc>
          <w:tcPr>
            <w:tcW w:w="2134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F521B4" w:rsidRPr="00AE5EAC">
              <w:rPr>
                <w:rFonts w:ascii="Times New Roman" w:hAnsi="Times New Roman" w:cs="Times New Roman"/>
                <w:sz w:val="24"/>
                <w:szCs w:val="24"/>
              </w:rPr>
              <w:t>аналізом якості зернофуражу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1B4" w:rsidRPr="00AE5EAC" w:rsidRDefault="00F521B4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Профілактика кормового травматизму тварин</w:t>
            </w: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7F4667" w:rsidRPr="00AE5EAC" w:rsidTr="006E4570">
        <w:tc>
          <w:tcPr>
            <w:tcW w:w="9345" w:type="dxa"/>
            <w:gridSpan w:val="5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5. Хімічні забруднення кормів.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(Мінеральні та органічні добрива, пестициди). Ботанічний склад кормів (Отруйні та шкідливі рослини).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класифікацію хімічних забруднювачів кормів та їх вплив на організм тварин.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Знати принципи оцінки безпечності кормів за ботанічним складом.</w:t>
            </w:r>
          </w:p>
          <w:p w:rsidR="00B071CB" w:rsidRPr="00AE5EAC" w:rsidRDefault="00B071CB" w:rsidP="008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="00764B26" w:rsidRPr="00AE5EAC">
              <w:rPr>
                <w:rFonts w:ascii="Times New Roman" w:hAnsi="Times New Roman" w:cs="Times New Roman"/>
                <w:sz w:val="24"/>
                <w:szCs w:val="24"/>
              </w:rPr>
              <w:t>визначати кислотність зерна та здійснювати інтерпретацію одержаних даних</w:t>
            </w:r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>. Вмісти визначати к</w:t>
            </w:r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ислотність </w:t>
            </w:r>
            <w:proofErr w:type="spellStart"/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72579B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силосу і сінажу</w:t>
            </w:r>
            <w:r w:rsidR="008235A1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, вміст </w:t>
            </w:r>
            <w:r w:rsidR="008235A1" w:rsidRPr="00AE5EAC">
              <w:rPr>
                <w:rFonts w:ascii="Times New Roman" w:hAnsi="Times New Roman" w:cs="Times New Roman"/>
                <w:sz w:val="24"/>
                <w:szCs w:val="24"/>
              </w:rPr>
              <w:t>нітратів, нітритів, соланіну в кормах</w:t>
            </w: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з аналізом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якості зернофуражу.</w:t>
            </w:r>
          </w:p>
          <w:p w:rsidR="00B071CB" w:rsidRPr="00AE5EAC" w:rsidRDefault="00B071CB" w:rsidP="00A73E10">
            <w:pPr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«</w:t>
            </w:r>
            <w:r w:rsidR="00764B26"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Профілактика отруєнн</w:t>
            </w:r>
            <w:bookmarkStart w:id="0" w:name="_GoBack"/>
            <w:bookmarkEnd w:id="0"/>
            <w:r w:rsidR="00764B26"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я тварин отрутохімікатами</w:t>
            </w:r>
            <w:r w:rsidR="00A73E10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6. Бактеріальне обсіменіння кормів та кормових добавок, контроль якості та безпечності кормів.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Мікотоксини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кормів, характеристика та методи контролю 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071CB" w:rsidRPr="00AE5EAC" w:rsidRDefault="00512F09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принципи оцінки якості та безпечності кормів та кормових добавок за бактеріальним обсіменінням. Знати вимоги до безпечності кормів за вмістом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мікотоксинів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F09" w:rsidRPr="00AE5EAC" w:rsidRDefault="00512F09" w:rsidP="00F8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F8138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зараженість зернофуражу комірними</w:t>
            </w:r>
            <w:r w:rsidR="00F8138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шкідник</w:t>
            </w:r>
            <w:r w:rsidR="00F81383" w:rsidRPr="00AE5EA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8138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аналізом якості зернофуражу.</w:t>
            </w:r>
          </w:p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«</w:t>
            </w:r>
            <w:r w:rsidR="00CA2671"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Заходи профілактики отруєння тварин солями важких металів</w:t>
            </w: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7. Стимулятори продуктивності тварин і кормові добавки та їх санітарно-гігієнічна оцінка. Санітарно-гігієнічна оцінка пре-, про-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постбіотиків</w:t>
            </w:r>
            <w:proofErr w:type="spellEnd"/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071CB" w:rsidRPr="00AE5EAC" w:rsidRDefault="00CA53CE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санітарно-гігієнічні вимоги до стимуляторів продуктивності тварин. Знати принципи застосування пре- і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пробіотиків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різним видам тварин.</w:t>
            </w:r>
          </w:p>
          <w:p w:rsidR="00CA53CE" w:rsidRPr="00AE5EAC" w:rsidRDefault="006A7B17" w:rsidP="006A7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міти в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изнач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вміст біологічно активних речовин у кормах (каротин)</w:t>
            </w: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аналізом якості зернофуражу.</w:t>
            </w:r>
          </w:p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«</w:t>
            </w:r>
            <w:r w:rsidR="000F11BD" w:rsidRPr="00AE5EAC">
              <w:rPr>
                <w:rFonts w:ascii="Times New Roman" w:hAnsi="Times New Roman" w:cs="Times New Roman"/>
                <w:sz w:val="24"/>
                <w:szCs w:val="24"/>
              </w:rPr>
              <w:t>Підготовка пасовищ до випасання тварин</w:t>
            </w: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8. Фальсифікація кормів і кормових добавок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253" w:type="dxa"/>
          </w:tcPr>
          <w:p w:rsidR="00B071CB" w:rsidRPr="00AE5EAC" w:rsidRDefault="00584D86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Знати види фальсифікації кормів і кормових добавок. Вмісти ідентифікувати фальсифіковані корми та кормові добавки.</w:t>
            </w:r>
          </w:p>
          <w:p w:rsidR="00584D86" w:rsidRPr="00AE5EAC" w:rsidRDefault="00584D86" w:rsidP="0058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Вміти здійснювати а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наліз хімічної безпеки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в кормах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(уреаза в кормах)</w:t>
            </w: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аналізом якості зернофуражу.</w:t>
            </w:r>
          </w:p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«</w:t>
            </w:r>
            <w:r w:rsidR="000F11BD" w:rsidRPr="00AE5EAC">
              <w:rPr>
                <w:rFonts w:ascii="Times New Roman" w:hAnsi="Times New Roman" w:cs="Times New Roman"/>
                <w:sz w:val="24"/>
                <w:szCs w:val="24"/>
              </w:rPr>
              <w:t>Особливості використання кормів при обробці пестицидами</w:t>
            </w:r>
            <w:r w:rsidRPr="00AE5EA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8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Всього за Модуль 2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B071CB" w:rsidRPr="00AE5EAC" w:rsidTr="0083022C">
        <w:tc>
          <w:tcPr>
            <w:tcW w:w="8217" w:type="dxa"/>
            <w:gridSpan w:val="4"/>
          </w:tcPr>
          <w:p w:rsidR="00B071CB" w:rsidRPr="00AE5EAC" w:rsidRDefault="00B071CB" w:rsidP="00B0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071CB" w:rsidRPr="00AE5EAC" w:rsidTr="0083022C">
        <w:tc>
          <w:tcPr>
            <w:tcW w:w="1696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134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B071CB" w:rsidRPr="00AE5EAC" w:rsidTr="0083022C">
        <w:tc>
          <w:tcPr>
            <w:tcW w:w="8217" w:type="dxa"/>
            <w:gridSpan w:val="4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6D324D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Лабораторні та самостійні роботи студентів, які виконано з порушенням вимог до змісту та оформлення</w:t>
            </w:r>
            <w:r w:rsidRPr="00516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r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нижче. </w:t>
            </w:r>
          </w:p>
          <w:p w:rsidR="006801DA" w:rsidRDefault="006D324D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Тривалість п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ерездач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лабораторних та самостійних робіт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визначається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залікової сесії.</w:t>
            </w:r>
          </w:p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змістовних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модулів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лікарняний). </w:t>
            </w:r>
          </w:p>
          <w:p w:rsidR="00130933" w:rsidRPr="006801DA" w:rsidRDefault="002E1366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 разі дистанційного складання залікового тесту студенти можуть скористатися </w:t>
            </w:r>
            <w:proofErr w:type="spellStart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відое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співбесідою</w:t>
            </w:r>
            <w:proofErr w:type="spellEnd"/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викладачем через ресурс </w:t>
            </w:r>
            <w:r w:rsidR="00E70E8F" w:rsidRPr="002F0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E63AEB" w:rsidRDefault="00544D46" w:rsidP="00E63AEB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здачі модульного контролю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заборонені (в т.ч. із використанням мобільних девайсів). 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C24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</w:t>
            </w:r>
            <w:r w:rsidR="00E70E8F">
              <w:rPr>
                <w:rFonts w:ascii="Times New Roman" w:hAnsi="Times New Roman" w:cs="Times New Roman"/>
                <w:sz w:val="24"/>
                <w:szCs w:val="24"/>
              </w:rPr>
              <w:t>Присутність на лабораторних заняттях входить до складу оцінки.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40"/>
    <w:multiLevelType w:val="hybridMultilevel"/>
    <w:tmpl w:val="A3FA15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D569D8"/>
    <w:multiLevelType w:val="hybridMultilevel"/>
    <w:tmpl w:val="418C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30BC"/>
    <w:multiLevelType w:val="hybridMultilevel"/>
    <w:tmpl w:val="2AF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4F37"/>
    <w:rsid w:val="00067D0D"/>
    <w:rsid w:val="00072729"/>
    <w:rsid w:val="00087642"/>
    <w:rsid w:val="000F11BD"/>
    <w:rsid w:val="000F54BE"/>
    <w:rsid w:val="00106554"/>
    <w:rsid w:val="00130933"/>
    <w:rsid w:val="001431F8"/>
    <w:rsid w:val="001B2A50"/>
    <w:rsid w:val="001E6358"/>
    <w:rsid w:val="0020200E"/>
    <w:rsid w:val="002029CB"/>
    <w:rsid w:val="00246136"/>
    <w:rsid w:val="00251667"/>
    <w:rsid w:val="002C02F0"/>
    <w:rsid w:val="002C61D8"/>
    <w:rsid w:val="002E1366"/>
    <w:rsid w:val="002F0AB9"/>
    <w:rsid w:val="002F3CEE"/>
    <w:rsid w:val="003214E6"/>
    <w:rsid w:val="003310F1"/>
    <w:rsid w:val="003334C8"/>
    <w:rsid w:val="00351296"/>
    <w:rsid w:val="003A578C"/>
    <w:rsid w:val="00437970"/>
    <w:rsid w:val="00487875"/>
    <w:rsid w:val="004D5F08"/>
    <w:rsid w:val="00504BDF"/>
    <w:rsid w:val="00512F09"/>
    <w:rsid w:val="00516F31"/>
    <w:rsid w:val="00544D46"/>
    <w:rsid w:val="00553B2E"/>
    <w:rsid w:val="00554811"/>
    <w:rsid w:val="005549AD"/>
    <w:rsid w:val="00581698"/>
    <w:rsid w:val="00584D86"/>
    <w:rsid w:val="005D323C"/>
    <w:rsid w:val="005D433A"/>
    <w:rsid w:val="00654D54"/>
    <w:rsid w:val="00672237"/>
    <w:rsid w:val="006801DA"/>
    <w:rsid w:val="006A7B17"/>
    <w:rsid w:val="006B04D4"/>
    <w:rsid w:val="006D324D"/>
    <w:rsid w:val="006E42A5"/>
    <w:rsid w:val="00712495"/>
    <w:rsid w:val="0072579B"/>
    <w:rsid w:val="00764B26"/>
    <w:rsid w:val="00770DDF"/>
    <w:rsid w:val="0077492F"/>
    <w:rsid w:val="007A642B"/>
    <w:rsid w:val="007F4667"/>
    <w:rsid w:val="008235A1"/>
    <w:rsid w:val="0083022C"/>
    <w:rsid w:val="00880706"/>
    <w:rsid w:val="008927AA"/>
    <w:rsid w:val="009557F6"/>
    <w:rsid w:val="00964BD5"/>
    <w:rsid w:val="009968D5"/>
    <w:rsid w:val="009A6359"/>
    <w:rsid w:val="009D47D6"/>
    <w:rsid w:val="00A45C4A"/>
    <w:rsid w:val="00A53A66"/>
    <w:rsid w:val="00A71D92"/>
    <w:rsid w:val="00A73E10"/>
    <w:rsid w:val="00A96EF1"/>
    <w:rsid w:val="00AE5EAC"/>
    <w:rsid w:val="00B071CB"/>
    <w:rsid w:val="00B10B7A"/>
    <w:rsid w:val="00B17CB3"/>
    <w:rsid w:val="00B30DF3"/>
    <w:rsid w:val="00B519C3"/>
    <w:rsid w:val="00B652B4"/>
    <w:rsid w:val="00B658EC"/>
    <w:rsid w:val="00C24584"/>
    <w:rsid w:val="00CA2671"/>
    <w:rsid w:val="00CA53CE"/>
    <w:rsid w:val="00CB09BE"/>
    <w:rsid w:val="00CD14E8"/>
    <w:rsid w:val="00CF6104"/>
    <w:rsid w:val="00D04F38"/>
    <w:rsid w:val="00D64C38"/>
    <w:rsid w:val="00D77431"/>
    <w:rsid w:val="00D87B03"/>
    <w:rsid w:val="00D87E5E"/>
    <w:rsid w:val="00D968D3"/>
    <w:rsid w:val="00DD6B34"/>
    <w:rsid w:val="00DD7841"/>
    <w:rsid w:val="00E63AEB"/>
    <w:rsid w:val="00E70E8F"/>
    <w:rsid w:val="00E937BB"/>
    <w:rsid w:val="00EC07A1"/>
    <w:rsid w:val="00ED3451"/>
    <w:rsid w:val="00EE5DB6"/>
    <w:rsid w:val="00F065AE"/>
    <w:rsid w:val="00F35BA6"/>
    <w:rsid w:val="00F521B4"/>
    <w:rsid w:val="00F81383"/>
    <w:rsid w:val="00F82151"/>
    <w:rsid w:val="00FC2E82"/>
    <w:rsid w:val="00FC6AE8"/>
    <w:rsid w:val="00FD2FB3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7099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01D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B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Exact">
    <w:name w:val="Основний текст (2) Exact"/>
    <w:rsid w:val="006B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"/>
    <w:rsid w:val="006B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9">
    <w:name w:val="Body Text Indent"/>
    <w:basedOn w:val="a"/>
    <w:link w:val="aa"/>
    <w:rsid w:val="00FC6AE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FC6A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Larisa</cp:lastModifiedBy>
  <cp:revision>48</cp:revision>
  <dcterms:created xsi:type="dcterms:W3CDTF">2020-06-19T05:01:00Z</dcterms:created>
  <dcterms:modified xsi:type="dcterms:W3CDTF">2020-06-19T08:38:00Z</dcterms:modified>
</cp:coreProperties>
</file>