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DD61F5" w:rsidRDefault="00654D54" w:rsidP="001309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D71D9F" w:rsidTr="00A96EF1">
        <w:tc>
          <w:tcPr>
            <w:tcW w:w="2978" w:type="dxa"/>
            <w:vMerge w:val="restart"/>
          </w:tcPr>
          <w:p w:rsidR="001431F8" w:rsidRPr="00D71D9F" w:rsidRDefault="001431F8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D71D9F" w:rsidRDefault="003F179A" w:rsidP="00DD61F5">
            <w:pPr>
              <w:pStyle w:val="2"/>
            </w:pPr>
            <w:r w:rsidRPr="00D71D9F">
              <w:t>СИЛАБУС ДИСЦИПЛІНИ</w:t>
            </w:r>
          </w:p>
          <w:p w:rsidR="001431F8" w:rsidRPr="00DD61F5" w:rsidRDefault="001431F8" w:rsidP="00A22189">
            <w:pPr>
              <w:jc w:val="center"/>
              <w:rPr>
                <w:rFonts w:ascii="Times New Roman" w:hAnsi="Times New Roman" w:cs="Times New Roman"/>
              </w:rPr>
            </w:pPr>
            <w:r w:rsidRPr="00DD61F5">
              <w:rPr>
                <w:rFonts w:ascii="Times New Roman" w:hAnsi="Times New Roman" w:cs="Times New Roman"/>
              </w:rPr>
              <w:t>«</w:t>
            </w:r>
            <w:proofErr w:type="spellStart"/>
            <w:r w:rsidR="00DD61F5" w:rsidRPr="00DD61F5">
              <w:rPr>
                <w:u w:val="single"/>
              </w:rPr>
              <w:t>Енергоекологічна</w:t>
            </w:r>
            <w:proofErr w:type="spellEnd"/>
            <w:r w:rsidR="00DD61F5" w:rsidRPr="00DD61F5">
              <w:rPr>
                <w:u w:val="single"/>
              </w:rPr>
              <w:t xml:space="preserve"> оцінка конструкцій машин</w:t>
            </w:r>
            <w:r w:rsidRPr="00DD61F5">
              <w:rPr>
                <w:rFonts w:ascii="Times New Roman" w:hAnsi="Times New Roman" w:cs="Times New Roman"/>
              </w:rPr>
              <w:t>»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DD61F5" w:rsidRDefault="00DD61F5" w:rsidP="00130933">
            <w:pPr>
              <w:rPr>
                <w:rFonts w:ascii="Times New Roman" w:hAnsi="Times New Roman" w:cs="Times New Roman"/>
                <w:b/>
              </w:rPr>
            </w:pPr>
          </w:p>
          <w:p w:rsidR="00DD61F5" w:rsidRPr="00DD61F5" w:rsidRDefault="00DD61F5" w:rsidP="00130933">
            <w:pPr>
              <w:rPr>
                <w:rFonts w:ascii="Times New Roman" w:hAnsi="Times New Roman" w:cs="Times New Roman"/>
              </w:rPr>
            </w:pPr>
            <w:r w:rsidRPr="00DD61F5">
              <w:rPr>
                <w:rFonts w:ascii="Times New Roman" w:hAnsi="Times New Roman" w:cs="Times New Roman"/>
                <w:b/>
              </w:rPr>
              <w:t>Ступінь вищої освіти</w:t>
            </w:r>
            <w:r w:rsidRPr="00DD61F5">
              <w:rPr>
                <w:rFonts w:ascii="Times New Roman" w:hAnsi="Times New Roman" w:cs="Times New Roman"/>
              </w:rPr>
              <w:t xml:space="preserve"> - </w:t>
            </w:r>
            <w:r w:rsidRPr="00DD61F5">
              <w:rPr>
                <w:rFonts w:ascii="Times New Roman" w:hAnsi="Times New Roman" w:cs="Times New Roman"/>
                <w:u w:val="single"/>
              </w:rPr>
              <w:t xml:space="preserve">Магістр </w:t>
            </w:r>
          </w:p>
          <w:p w:rsidR="00DD61F5" w:rsidRPr="00DD61F5" w:rsidRDefault="00DD61F5" w:rsidP="00130933">
            <w:pPr>
              <w:rPr>
                <w:rFonts w:ascii="Times New Roman" w:hAnsi="Times New Roman" w:cs="Times New Roman"/>
              </w:rPr>
            </w:pPr>
            <w:r w:rsidRPr="00DD61F5">
              <w:rPr>
                <w:rFonts w:ascii="Times New Roman" w:hAnsi="Times New Roman" w:cs="Times New Roman"/>
                <w:b/>
              </w:rPr>
              <w:t xml:space="preserve">Спеціальність </w:t>
            </w:r>
            <w:r w:rsidRPr="00DD61F5">
              <w:rPr>
                <w:rFonts w:ascii="Times New Roman" w:hAnsi="Times New Roman" w:cs="Times New Roman"/>
                <w:u w:val="single"/>
              </w:rPr>
              <w:t>133 Галузеве машинобудування</w:t>
            </w:r>
          </w:p>
          <w:p w:rsidR="00DD61F5" w:rsidRPr="00D71D9F" w:rsidRDefault="00DD61F5" w:rsidP="00DD61F5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 xml:space="preserve">Освітня програма </w:t>
            </w:r>
            <w:r w:rsidRPr="00DD61F5">
              <w:rPr>
                <w:rFonts w:ascii="Times New Roman" w:hAnsi="Times New Roman" w:cs="Times New Roman"/>
                <w:u w:val="single"/>
              </w:rPr>
              <w:t>«Машини та обладнання сільськогосподарського виробництва»</w:t>
            </w:r>
          </w:p>
        </w:tc>
      </w:tr>
      <w:tr w:rsidR="00A96EF1" w:rsidRPr="00D71D9F" w:rsidTr="00A96EF1">
        <w:tc>
          <w:tcPr>
            <w:tcW w:w="2978" w:type="dxa"/>
            <w:vMerge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96EF1" w:rsidRPr="00D71D9F" w:rsidRDefault="00DD61F5" w:rsidP="00DD6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Рік навчання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2020/2021,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DD61F5" w:rsidP="008415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Семестр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1,2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20200E" w:rsidRPr="00D71D9F" w:rsidRDefault="00DD61F5" w:rsidP="00A22189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Форма навчання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денна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DD61F5" w:rsidP="00A22189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 xml:space="preserve">Кількість кредитів </w:t>
            </w:r>
            <w:proofErr w:type="spellStart"/>
            <w:r w:rsidRPr="00DD61F5">
              <w:rPr>
                <w:rFonts w:ascii="Times New Roman" w:hAnsi="Times New Roman" w:cs="Times New Roman"/>
                <w:b/>
              </w:rPr>
              <w:t>ЄКТС</w:t>
            </w:r>
            <w:proofErr w:type="spellEnd"/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8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DD61F5" w:rsidP="006E572F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 xml:space="preserve">Мова викладання </w:t>
            </w:r>
            <w:r w:rsidRPr="00DD61F5">
              <w:rPr>
                <w:rFonts w:ascii="Times New Roman" w:hAnsi="Times New Roman" w:cs="Times New Roman"/>
                <w:u w:val="single"/>
              </w:rPr>
              <w:t>українська</w:t>
            </w:r>
          </w:p>
        </w:tc>
      </w:tr>
      <w:tr w:rsidR="00A96EF1" w:rsidRPr="00D71D9F" w:rsidTr="00A96EF1">
        <w:tc>
          <w:tcPr>
            <w:tcW w:w="2978" w:type="dxa"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6911" w:type="dxa"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Лектор курсу</w:t>
            </w:r>
          </w:p>
        </w:tc>
        <w:tc>
          <w:tcPr>
            <w:tcW w:w="6911" w:type="dxa"/>
          </w:tcPr>
          <w:p w:rsidR="001431F8" w:rsidRPr="00D71D9F" w:rsidRDefault="00DD61F5" w:rsidP="00DD61F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D61F5">
              <w:rPr>
                <w:rFonts w:ascii="Times New Roman" w:hAnsi="Times New Roman" w:cs="Times New Roman"/>
                <w:u w:val="single"/>
              </w:rPr>
              <w:t>Кандидат технічних наук, доцент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Чуба В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ячеслав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Володимирович</w:t>
            </w: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Контактна інформація лектора (e-</w:t>
            </w:r>
            <w:proofErr w:type="spellStart"/>
            <w:r w:rsidRPr="00D71D9F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D71D9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911" w:type="dxa"/>
          </w:tcPr>
          <w:p w:rsidR="00581698" w:rsidRPr="00D71D9F" w:rsidRDefault="00581698" w:rsidP="00673EF3">
            <w:pPr>
              <w:rPr>
                <w:rFonts w:ascii="Times New Roman" w:hAnsi="Times New Roman" w:cs="Times New Roman"/>
                <w:b/>
              </w:rPr>
            </w:pPr>
          </w:p>
          <w:p w:rsidR="00673EF3" w:rsidRPr="00D71D9F" w:rsidRDefault="00DD61F5" w:rsidP="00DD6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vvchuba@ukr.net</w:t>
            </w: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A96EF1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Сторінка курсу в</w:t>
            </w:r>
            <w:r w:rsidR="00A96EF1" w:rsidRPr="00D71D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D9F">
              <w:rPr>
                <w:rFonts w:ascii="Times New Roman" w:hAnsi="Times New Roman" w:cs="Times New Roman"/>
                <w:b/>
              </w:rPr>
              <w:t>e</w:t>
            </w:r>
            <w:r w:rsidR="00A96EF1" w:rsidRPr="00D71D9F">
              <w:rPr>
                <w:rFonts w:ascii="Times New Roman" w:hAnsi="Times New Roman" w:cs="Times New Roman"/>
                <w:b/>
              </w:rPr>
              <w:t>L</w:t>
            </w:r>
            <w:r w:rsidRPr="00D71D9F">
              <w:rPr>
                <w:rFonts w:ascii="Times New Roman" w:hAnsi="Times New Roman" w:cs="Times New Roman"/>
                <w:b/>
              </w:rPr>
              <w:t>earn</w:t>
            </w:r>
            <w:proofErr w:type="spellEnd"/>
            <w:r w:rsidRPr="00D71D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11" w:type="dxa"/>
          </w:tcPr>
          <w:p w:rsidR="001431F8" w:rsidRPr="00D71D9F" w:rsidRDefault="00673EF3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https://elearn.nubip.edu.ua/my/</w:t>
            </w:r>
          </w:p>
        </w:tc>
      </w:tr>
    </w:tbl>
    <w:p w:rsidR="001431F8" w:rsidRPr="00D71D9F" w:rsidRDefault="001431F8" w:rsidP="00130933">
      <w:pPr>
        <w:spacing w:after="0" w:line="240" w:lineRule="auto"/>
        <w:rPr>
          <w:rFonts w:ascii="Times New Roman" w:hAnsi="Times New Roman" w:cs="Times New Roman"/>
          <w:b/>
        </w:rPr>
      </w:pPr>
    </w:p>
    <w:p w:rsidR="00EC07A1" w:rsidRPr="00D71D9F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ОПИС ДИСЦИПЛІНИ</w:t>
      </w:r>
    </w:p>
    <w:p w:rsidR="00A71D92" w:rsidRPr="00D71D9F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71D9F">
        <w:rPr>
          <w:rFonts w:ascii="Times New Roman" w:hAnsi="Times New Roman" w:cs="Times New Roman"/>
          <w:i/>
        </w:rPr>
        <w:t>(до 1000 друкованих знаків)</w:t>
      </w:r>
    </w:p>
    <w:p w:rsidR="00A22189" w:rsidRPr="006E4BD7" w:rsidRDefault="006E4BD7" w:rsidP="00A22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ru-RU"/>
        </w:rPr>
        <w:t>Д</w:t>
      </w:r>
      <w:proofErr w:type="spellStart"/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исципліна</w:t>
      </w:r>
      <w:proofErr w:type="spellEnd"/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призначена для вивчення основних принципів </w:t>
      </w:r>
      <w:proofErr w:type="spellStart"/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ресурсо</w:t>
      </w:r>
      <w:proofErr w:type="spellEnd"/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- та енергозбереження при виробництві, основ розробки екологічно чистих технологій та обладнання, прогнозування виходу основної та попутної продукції та кількості викидів у навколишнє середовище, освоєння принципів та методів промислового виробництва, що дозволяють суттєво зменшити питомі витрати природних матеріальних та енергетичних ресурсів.</w:t>
      </w:r>
    </w:p>
    <w:p w:rsidR="00D02B5A" w:rsidRPr="00D71D9F" w:rsidRDefault="00D02B5A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EC07A1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3"/>
        <w:gridCol w:w="1985"/>
        <w:gridCol w:w="2205"/>
        <w:gridCol w:w="1802"/>
        <w:gridCol w:w="1410"/>
      </w:tblGrid>
      <w:tr w:rsidR="00007861" w:rsidRPr="00166056" w:rsidTr="0072178D">
        <w:tc>
          <w:tcPr>
            <w:tcW w:w="1943" w:type="dxa"/>
            <w:vAlign w:val="center"/>
          </w:tcPr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985" w:type="dxa"/>
            <w:vAlign w:val="center"/>
          </w:tcPr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Години</w:t>
            </w:r>
          </w:p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(лекції/лаборатор</w:t>
            </w:r>
            <w:r w:rsidR="00A96EF1" w:rsidRPr="00166056">
              <w:rPr>
                <w:rFonts w:ascii="Times New Roman" w:hAnsi="Times New Roman" w:cs="Times New Roman"/>
              </w:rPr>
              <w:t>н</w:t>
            </w:r>
            <w:r w:rsidRPr="00166056">
              <w:rPr>
                <w:rFonts w:ascii="Times New Roman" w:hAnsi="Times New Roman" w:cs="Times New Roman"/>
              </w:rPr>
              <w:t>і, практичні, семінарські)</w:t>
            </w:r>
          </w:p>
        </w:tc>
        <w:tc>
          <w:tcPr>
            <w:tcW w:w="2205" w:type="dxa"/>
            <w:vAlign w:val="center"/>
          </w:tcPr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1802" w:type="dxa"/>
            <w:vAlign w:val="center"/>
          </w:tcPr>
          <w:p w:rsidR="00EC07A1" w:rsidRPr="00166056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410" w:type="dxa"/>
            <w:vAlign w:val="center"/>
          </w:tcPr>
          <w:p w:rsidR="00EC07A1" w:rsidRPr="00166056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Оцінювання</w:t>
            </w:r>
          </w:p>
        </w:tc>
      </w:tr>
      <w:tr w:rsidR="00ED3451" w:rsidRPr="00166056" w:rsidTr="0072178D">
        <w:tc>
          <w:tcPr>
            <w:tcW w:w="9345" w:type="dxa"/>
            <w:gridSpan w:val="5"/>
          </w:tcPr>
          <w:p w:rsidR="00ED3451" w:rsidRPr="00166056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</w:t>
            </w:r>
            <w:r w:rsidR="00ED3451" w:rsidRPr="00166056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</w:tr>
      <w:tr w:rsidR="00544D46" w:rsidRPr="00166056" w:rsidTr="0072178D">
        <w:tc>
          <w:tcPr>
            <w:tcW w:w="9345" w:type="dxa"/>
            <w:gridSpan w:val="5"/>
          </w:tcPr>
          <w:p w:rsidR="00544D46" w:rsidRPr="00166056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  <w:bCs/>
              </w:rPr>
              <w:t xml:space="preserve">Змістовий модуль 1. </w:t>
            </w:r>
            <w:proofErr w:type="spellStart"/>
            <w:r w:rsidR="0072178D" w:rsidRPr="00166056">
              <w:rPr>
                <w:rFonts w:ascii="Times New Roman" w:hAnsi="Times New Roman" w:cs="Times New Roman"/>
                <w:b/>
                <w:bCs/>
              </w:rPr>
              <w:t>Енерго</w:t>
            </w:r>
            <w:proofErr w:type="spellEnd"/>
            <w:r w:rsidR="0072178D" w:rsidRPr="00166056">
              <w:rPr>
                <w:rFonts w:ascii="Times New Roman" w:hAnsi="Times New Roman" w:cs="Times New Roman"/>
                <w:b/>
                <w:bCs/>
              </w:rPr>
              <w:t>–екологічні проблеми сучасного виробництва</w:t>
            </w:r>
          </w:p>
        </w:tc>
      </w:tr>
      <w:tr w:rsidR="00007861" w:rsidRPr="00166056" w:rsidTr="0072178D">
        <w:tc>
          <w:tcPr>
            <w:tcW w:w="1943" w:type="dxa"/>
          </w:tcPr>
          <w:p w:rsidR="00AC2AB0" w:rsidRPr="00166056" w:rsidRDefault="00AC2AB0" w:rsidP="005F4A1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66056">
              <w:rPr>
                <w:rFonts w:ascii="Times New Roman" w:hAnsi="Times New Roman" w:cs="Times New Roman"/>
                <w:b/>
              </w:rPr>
              <w:t>Тема1</w:t>
            </w:r>
            <w:proofErr w:type="spellEnd"/>
            <w:r w:rsidRPr="00166056">
              <w:rPr>
                <w:rFonts w:ascii="Times New Roman" w:hAnsi="Times New Roman" w:cs="Times New Roman"/>
                <w:b/>
              </w:rPr>
              <w:t>.</w:t>
            </w:r>
          </w:p>
          <w:p w:rsidR="00AC2AB0" w:rsidRPr="00166056" w:rsidRDefault="006E4BD7" w:rsidP="005F4A18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 xml:space="preserve">Проблеми </w:t>
            </w:r>
            <w:proofErr w:type="spellStart"/>
            <w:r w:rsidRPr="00166056">
              <w:rPr>
                <w:rFonts w:ascii="Times New Roman" w:hAnsi="Times New Roman" w:cs="Times New Roman"/>
              </w:rPr>
              <w:t>енерго</w:t>
            </w:r>
            <w:proofErr w:type="spellEnd"/>
            <w:r w:rsidRPr="00166056">
              <w:rPr>
                <w:rFonts w:ascii="Times New Roman" w:hAnsi="Times New Roman" w:cs="Times New Roman"/>
              </w:rPr>
              <w:t>- та ресурсозбереження на сучасному етапі розвитку промисловості</w:t>
            </w:r>
            <w:r w:rsidR="00AC2AB0" w:rsidRPr="00166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C2AB0" w:rsidRPr="00166056" w:rsidRDefault="0072178D" w:rsidP="0072178D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4</w:t>
            </w:r>
            <w:r w:rsidR="00AC2AB0" w:rsidRPr="00166056">
              <w:rPr>
                <w:rFonts w:ascii="Times New Roman" w:hAnsi="Times New Roman" w:cs="Times New Roman"/>
              </w:rPr>
              <w:t>/</w:t>
            </w:r>
            <w:r w:rsidRPr="0016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5" w:type="dxa"/>
          </w:tcPr>
          <w:p w:rsidR="006C6A1D" w:rsidRPr="00166056" w:rsidRDefault="006C6A1D" w:rsidP="006C6A1D">
            <w:pPr>
              <w:pStyle w:val="aa"/>
              <w:rPr>
                <w:rFonts w:eastAsia="Calibri"/>
                <w:sz w:val="28"/>
                <w:szCs w:val="28"/>
              </w:rPr>
            </w:pPr>
            <w:r w:rsidRPr="00166056">
              <w:t>Розуміти с</w:t>
            </w:r>
            <w:r w:rsidRPr="00166056">
              <w:t xml:space="preserve">учасний стан техніки та технологій виробництва продукції чорної металургії України та передових підприємствах світу. </w:t>
            </w:r>
            <w:r w:rsidRPr="00166056">
              <w:t>Розуміти о</w:t>
            </w:r>
            <w:r w:rsidRPr="00166056">
              <w:t xml:space="preserve">бсяги виробництва , питомі витрати ресурсів та енергії. </w:t>
            </w:r>
          </w:p>
          <w:p w:rsidR="006C6A1D" w:rsidRPr="00166056" w:rsidRDefault="006C6A1D" w:rsidP="000A5B28">
            <w:pPr>
              <w:jc w:val="both"/>
              <w:rPr>
                <w:rStyle w:val="FontStyle12"/>
                <w:b w:val="0"/>
                <w:bCs w:val="0"/>
              </w:rPr>
            </w:pPr>
          </w:p>
          <w:p w:rsidR="00AC2AB0" w:rsidRPr="00166056" w:rsidRDefault="00AC2AB0" w:rsidP="000A5B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166056" w:rsidRDefault="00AC2AB0" w:rsidP="00166056">
            <w:pPr>
              <w:pStyle w:val="aa"/>
            </w:pPr>
            <w:r w:rsidRPr="00166056">
              <w:t>Здача лабораторної роботи: ви</w:t>
            </w:r>
            <w:r w:rsidR="00166056">
              <w:t xml:space="preserve">конати аналіз </w:t>
            </w:r>
            <w:r w:rsidR="00166056" w:rsidRPr="00166056">
              <w:t xml:space="preserve"> утворення відходів в технологічних процесах, </w:t>
            </w:r>
            <w:r w:rsidR="00166056" w:rsidRPr="00166056">
              <w:t xml:space="preserve"> розрахувати </w:t>
            </w:r>
            <w:r w:rsidR="00166056" w:rsidRPr="00166056">
              <w:t>склад відходів</w:t>
            </w:r>
          </w:p>
          <w:p w:rsidR="00166056" w:rsidRDefault="00166056" w:rsidP="00166056">
            <w:pPr>
              <w:pStyle w:val="aa"/>
            </w:pPr>
          </w:p>
          <w:p w:rsidR="00AC2AB0" w:rsidRPr="00166056" w:rsidRDefault="00AC2AB0" w:rsidP="00166056">
            <w:pPr>
              <w:pStyle w:val="aa"/>
            </w:pPr>
          </w:p>
        </w:tc>
        <w:tc>
          <w:tcPr>
            <w:tcW w:w="1410" w:type="dxa"/>
          </w:tcPr>
          <w:p w:rsidR="00AC2AB0" w:rsidRPr="00166056" w:rsidRDefault="00AC2AB0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861" w:rsidRPr="00166056" w:rsidTr="0072178D">
        <w:tc>
          <w:tcPr>
            <w:tcW w:w="1943" w:type="dxa"/>
          </w:tcPr>
          <w:p w:rsidR="00393934" w:rsidRPr="00166056" w:rsidRDefault="00393934" w:rsidP="005F4A18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2.</w:t>
            </w:r>
            <w:r w:rsidR="006C6A1D" w:rsidRPr="00166056">
              <w:rPr>
                <w:rFonts w:ascii="Times New Roman" w:hAnsi="Times New Roman" w:cs="Times New Roman"/>
                <w:b/>
              </w:rPr>
              <w:t xml:space="preserve"> </w:t>
            </w:r>
            <w:r w:rsidR="006E4BD7" w:rsidRPr="00166056">
              <w:rPr>
                <w:rFonts w:ascii="Times New Roman" w:hAnsi="Times New Roman" w:cs="Times New Roman"/>
              </w:rPr>
              <w:t>Концепція сталого розвитку та екологічно чистого виробництва</w:t>
            </w:r>
          </w:p>
        </w:tc>
        <w:tc>
          <w:tcPr>
            <w:tcW w:w="1985" w:type="dxa"/>
          </w:tcPr>
          <w:p w:rsidR="00393934" w:rsidRPr="00166056" w:rsidRDefault="00D00999" w:rsidP="005F4A18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393934" w:rsidRPr="00166056" w:rsidRDefault="006C6A1D" w:rsidP="006C6A1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166056">
              <w:rPr>
                <w:sz w:val="22"/>
                <w:szCs w:val="22"/>
                <w:lang w:val="uk-UA"/>
              </w:rPr>
              <w:t xml:space="preserve">Розуміти сталий розвиток суспільства, енергетика та промисловість. Знати </w:t>
            </w:r>
            <w:proofErr w:type="spellStart"/>
            <w:r w:rsidRPr="00166056">
              <w:rPr>
                <w:sz w:val="22"/>
                <w:szCs w:val="22"/>
                <w:lang w:val="uk-UA"/>
              </w:rPr>
              <w:t>ресурсо</w:t>
            </w:r>
            <w:proofErr w:type="spellEnd"/>
            <w:r w:rsidRPr="00166056">
              <w:rPr>
                <w:sz w:val="22"/>
                <w:szCs w:val="22"/>
                <w:lang w:val="uk-UA"/>
              </w:rPr>
              <w:t xml:space="preserve">- екологічна концепція соціально-економічного розвитку. Розуміти глобальні зміни клімату. </w:t>
            </w:r>
            <w:r w:rsidRPr="00166056">
              <w:rPr>
                <w:sz w:val="22"/>
                <w:szCs w:val="22"/>
                <w:lang w:val="uk-UA"/>
              </w:rPr>
              <w:lastRenderedPageBreak/>
              <w:t xml:space="preserve">Вміти рахувати викиди та забруднення  </w:t>
            </w:r>
          </w:p>
        </w:tc>
        <w:tc>
          <w:tcPr>
            <w:tcW w:w="1802" w:type="dxa"/>
          </w:tcPr>
          <w:p w:rsidR="00166056" w:rsidRDefault="00AC2AB0" w:rsidP="00166056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lastRenderedPageBreak/>
              <w:t xml:space="preserve">Здача лабораторної роботи: </w:t>
            </w:r>
            <w:r w:rsidR="00166056">
              <w:rPr>
                <w:rFonts w:ascii="Times New Roman" w:hAnsi="Times New Roman" w:cs="Times New Roman"/>
              </w:rPr>
              <w:t xml:space="preserve"> </w:t>
            </w:r>
            <w:r w:rsidR="00166056" w:rsidRPr="00166056">
              <w:rPr>
                <w:rFonts w:ascii="Times New Roman" w:hAnsi="Times New Roman" w:cs="Times New Roman"/>
              </w:rPr>
              <w:t>Аналіз промислових відходів і їх класифікація</w:t>
            </w:r>
          </w:p>
          <w:p w:rsidR="00F11939" w:rsidRPr="00166056" w:rsidRDefault="00F11939" w:rsidP="001660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861" w:rsidRPr="00166056" w:rsidTr="0072178D">
        <w:tc>
          <w:tcPr>
            <w:tcW w:w="1943" w:type="dxa"/>
            <w:vAlign w:val="center"/>
          </w:tcPr>
          <w:p w:rsidR="00393934" w:rsidRPr="00166056" w:rsidRDefault="00393934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lastRenderedPageBreak/>
              <w:t>Тема 3.</w:t>
            </w:r>
            <w:r w:rsidRPr="00166056">
              <w:rPr>
                <w:sz w:val="22"/>
                <w:szCs w:val="22"/>
              </w:rPr>
              <w:t xml:space="preserve"> </w:t>
            </w:r>
            <w:proofErr w:type="spellStart"/>
            <w:r w:rsidR="006E4BD7" w:rsidRPr="00166056">
              <w:rPr>
                <w:iCs/>
                <w:sz w:val="22"/>
                <w:szCs w:val="22"/>
              </w:rPr>
              <w:t>Енерго</w:t>
            </w:r>
            <w:proofErr w:type="spellEnd"/>
            <w:r w:rsidR="006E4BD7" w:rsidRPr="00166056">
              <w:rPr>
                <w:iCs/>
                <w:sz w:val="22"/>
                <w:szCs w:val="22"/>
              </w:rPr>
              <w:t>- та ресурсозбереження та оточуюче середовище .</w:t>
            </w:r>
          </w:p>
        </w:tc>
        <w:tc>
          <w:tcPr>
            <w:tcW w:w="1985" w:type="dxa"/>
          </w:tcPr>
          <w:p w:rsidR="00393934" w:rsidRPr="00166056" w:rsidRDefault="0072178D" w:rsidP="007217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</w:t>
            </w:r>
            <w:r w:rsidR="00D00999" w:rsidRPr="00166056">
              <w:rPr>
                <w:rFonts w:ascii="Times New Roman" w:hAnsi="Times New Roman" w:cs="Times New Roman"/>
              </w:rPr>
              <w:t>/</w:t>
            </w:r>
            <w:r w:rsidRPr="0016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5" w:type="dxa"/>
          </w:tcPr>
          <w:p w:rsidR="00393934" w:rsidRPr="00166056" w:rsidRDefault="006C6A1D" w:rsidP="006C6A1D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eastAsia="Calibri" w:hAnsi="Times New Roman" w:cs="Times New Roman"/>
                <w:szCs w:val="28"/>
              </w:rPr>
              <w:t>Вміти рахувати п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итомі витрати та енергоємність продукції, отриманої за різними схемами. 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Знати т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ехногенні відходи та </w:t>
            </w:r>
            <w:proofErr w:type="spellStart"/>
            <w:r w:rsidRPr="00166056">
              <w:rPr>
                <w:rFonts w:ascii="Times New Roman" w:eastAsia="Calibri" w:hAnsi="Times New Roman" w:cs="Times New Roman"/>
                <w:szCs w:val="28"/>
              </w:rPr>
              <w:t>рециклінг</w:t>
            </w:r>
            <w:proofErr w:type="spellEnd"/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. 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Розуміти с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хеми глобальн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ого та виробничого </w:t>
            </w:r>
            <w:proofErr w:type="spellStart"/>
            <w:r w:rsidRPr="00166056">
              <w:rPr>
                <w:rFonts w:ascii="Times New Roman" w:eastAsia="Calibri" w:hAnsi="Times New Roman" w:cs="Times New Roman"/>
                <w:szCs w:val="28"/>
              </w:rPr>
              <w:t>рециклінгу</w:t>
            </w:r>
            <w:proofErr w:type="spellEnd"/>
            <w:r w:rsidRPr="00166056">
              <w:rPr>
                <w:rFonts w:ascii="Times New Roman" w:eastAsia="Calibri" w:hAnsi="Times New Roman" w:cs="Times New Roman"/>
                <w:szCs w:val="28"/>
              </w:rPr>
              <w:t>. Розуміти і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нноваційні технології із використанням елементів </w:t>
            </w:r>
            <w:proofErr w:type="spellStart"/>
            <w:r w:rsidRPr="00166056">
              <w:rPr>
                <w:rFonts w:ascii="Times New Roman" w:eastAsia="Calibri" w:hAnsi="Times New Roman" w:cs="Times New Roman"/>
                <w:szCs w:val="28"/>
              </w:rPr>
              <w:t>рециклінгу</w:t>
            </w:r>
            <w:proofErr w:type="spellEnd"/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 при виробництві продукції</w:t>
            </w:r>
          </w:p>
        </w:tc>
        <w:tc>
          <w:tcPr>
            <w:tcW w:w="1802" w:type="dxa"/>
          </w:tcPr>
          <w:p w:rsidR="00AC2AB0" w:rsidRPr="00166056" w:rsidRDefault="00AC2AB0" w:rsidP="00416B2F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66056">
              <w:rPr>
                <w:rFonts w:ascii="Times New Roman" w:eastAsia="Calibri" w:hAnsi="Times New Roman" w:cs="Times New Roman"/>
                <w:szCs w:val="28"/>
              </w:rPr>
              <w:t>Здача лабораторної роботи:</w:t>
            </w:r>
          </w:p>
          <w:p w:rsidR="00416B2F" w:rsidRPr="00166056" w:rsidRDefault="00166056" w:rsidP="00416B2F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66056">
              <w:rPr>
                <w:rFonts w:ascii="Times New Roman" w:eastAsia="Calibri" w:hAnsi="Times New Roman" w:cs="Times New Roman"/>
                <w:szCs w:val="28"/>
              </w:rPr>
              <w:t>Аналіз методів утилізації та видалення відходів</w:t>
            </w: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12CAF" w:rsidRPr="00166056" w:rsidTr="0072178D">
        <w:tc>
          <w:tcPr>
            <w:tcW w:w="9345" w:type="dxa"/>
            <w:gridSpan w:val="5"/>
            <w:vAlign w:val="center"/>
          </w:tcPr>
          <w:p w:rsidR="00312CAF" w:rsidRPr="00166056" w:rsidRDefault="00312CAF" w:rsidP="006E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  <w:bCs/>
              </w:rPr>
              <w:t>Змістовий мод</w:t>
            </w:r>
            <w:r w:rsidR="006E4BD7" w:rsidRPr="00166056">
              <w:rPr>
                <w:rFonts w:ascii="Times New Roman" w:hAnsi="Times New Roman" w:cs="Times New Roman"/>
                <w:b/>
                <w:bCs/>
              </w:rPr>
              <w:t>у</w:t>
            </w:r>
            <w:r w:rsidRPr="00166056">
              <w:rPr>
                <w:rFonts w:ascii="Times New Roman" w:hAnsi="Times New Roman" w:cs="Times New Roman"/>
                <w:b/>
                <w:bCs/>
              </w:rPr>
              <w:t xml:space="preserve">ль 2 </w:t>
            </w:r>
            <w:r w:rsidR="0072178D" w:rsidRPr="00166056">
              <w:rPr>
                <w:rFonts w:ascii="Times New Roman" w:hAnsi="Times New Roman" w:cs="Times New Roman"/>
                <w:b/>
                <w:bCs/>
              </w:rPr>
              <w:t>Загальні уявлення про управління та поводження з відходами</w:t>
            </w:r>
          </w:p>
        </w:tc>
      </w:tr>
      <w:tr w:rsidR="00007861" w:rsidRPr="00166056" w:rsidTr="0072178D">
        <w:tc>
          <w:tcPr>
            <w:tcW w:w="1943" w:type="dxa"/>
          </w:tcPr>
          <w:p w:rsidR="00393934" w:rsidRPr="00166056" w:rsidRDefault="00393934" w:rsidP="00007861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Тема </w:t>
            </w:r>
            <w:r w:rsidR="00007861" w:rsidRPr="00166056">
              <w:rPr>
                <w:rFonts w:ascii="Times New Roman" w:hAnsi="Times New Roman" w:cs="Times New Roman"/>
                <w:b/>
              </w:rPr>
              <w:t>1</w:t>
            </w:r>
            <w:r w:rsidRPr="00166056">
              <w:rPr>
                <w:rFonts w:ascii="Times New Roman" w:hAnsi="Times New Roman" w:cs="Times New Roman"/>
                <w:b/>
              </w:rPr>
              <w:t>.</w:t>
            </w:r>
            <w:r w:rsidR="006E4BD7" w:rsidRPr="0016605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6E4BD7" w:rsidRPr="00166056">
              <w:rPr>
                <w:rFonts w:ascii="Times New Roman" w:hAnsi="Times New Roman" w:cs="Times New Roman"/>
              </w:rPr>
              <w:t>Основні визначення в сфері поводження з відходами та принципи класифікації відходів</w:t>
            </w:r>
          </w:p>
        </w:tc>
        <w:tc>
          <w:tcPr>
            <w:tcW w:w="1985" w:type="dxa"/>
          </w:tcPr>
          <w:p w:rsidR="00393934" w:rsidRPr="00166056" w:rsidRDefault="0072178D" w:rsidP="007217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</w:t>
            </w:r>
            <w:r w:rsidR="00D00999" w:rsidRPr="00166056">
              <w:rPr>
                <w:rFonts w:ascii="Times New Roman" w:hAnsi="Times New Roman" w:cs="Times New Roman"/>
              </w:rPr>
              <w:t>/</w:t>
            </w:r>
            <w:r w:rsidRPr="0016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5" w:type="dxa"/>
          </w:tcPr>
          <w:p w:rsidR="002F79FF" w:rsidRPr="00166056" w:rsidRDefault="00007861" w:rsidP="00007861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166056">
              <w:rPr>
                <w:szCs w:val="28"/>
                <w:lang w:val="uk-UA" w:eastAsia="en-US"/>
              </w:rPr>
              <w:t>Знати т</w:t>
            </w:r>
            <w:r w:rsidRPr="00166056">
              <w:rPr>
                <w:szCs w:val="28"/>
                <w:lang w:val="uk-UA" w:eastAsia="en-US"/>
              </w:rPr>
              <w:t xml:space="preserve">еорія екологічно чистого виробництва. </w:t>
            </w:r>
            <w:r w:rsidRPr="00166056">
              <w:rPr>
                <w:szCs w:val="28"/>
                <w:lang w:val="uk-UA" w:eastAsia="en-US"/>
              </w:rPr>
              <w:t>Розуміти о</w:t>
            </w:r>
            <w:r w:rsidRPr="00166056">
              <w:rPr>
                <w:szCs w:val="28"/>
                <w:lang w:val="uk-UA" w:eastAsia="en-US"/>
              </w:rPr>
              <w:t xml:space="preserve">сновні проблеми </w:t>
            </w:r>
            <w:proofErr w:type="spellStart"/>
            <w:r w:rsidRPr="00166056">
              <w:rPr>
                <w:szCs w:val="28"/>
                <w:lang w:val="uk-UA" w:eastAsia="en-US"/>
              </w:rPr>
              <w:t>енерго</w:t>
            </w:r>
            <w:proofErr w:type="spellEnd"/>
            <w:r w:rsidRPr="00166056">
              <w:rPr>
                <w:szCs w:val="28"/>
                <w:lang w:val="uk-UA" w:eastAsia="en-US"/>
              </w:rPr>
              <w:t>- та ресурсозбереження на сучасному етапі.</w:t>
            </w:r>
          </w:p>
        </w:tc>
        <w:tc>
          <w:tcPr>
            <w:tcW w:w="1802" w:type="dxa"/>
          </w:tcPr>
          <w:p w:rsidR="00166056" w:rsidRPr="00166056" w:rsidRDefault="005C2124" w:rsidP="00166056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 xml:space="preserve">Здача лабораторної роботи: </w:t>
            </w:r>
            <w:r w:rsidR="00B9068B" w:rsidRPr="00B9068B">
              <w:rPr>
                <w:rFonts w:ascii="Times New Roman" w:hAnsi="Times New Roman" w:cs="Times New Roman"/>
              </w:rPr>
              <w:t>Методика розрахунку викидів забруднюючих речовин та парникових газів у повітря від транспортних засобів</w:t>
            </w:r>
          </w:p>
          <w:p w:rsidR="00A25761" w:rsidRPr="00166056" w:rsidRDefault="00A25761" w:rsidP="00A257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861" w:rsidRPr="00166056" w:rsidTr="0072178D">
        <w:tc>
          <w:tcPr>
            <w:tcW w:w="1943" w:type="dxa"/>
          </w:tcPr>
          <w:p w:rsidR="00393934" w:rsidRPr="00166056" w:rsidRDefault="00393934" w:rsidP="00007861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t xml:space="preserve">Тема </w:t>
            </w:r>
            <w:r w:rsidR="00007861" w:rsidRPr="00166056">
              <w:rPr>
                <w:b/>
                <w:sz w:val="22"/>
                <w:szCs w:val="22"/>
              </w:rPr>
              <w:t>2</w:t>
            </w:r>
            <w:r w:rsidRPr="00166056">
              <w:rPr>
                <w:b/>
                <w:sz w:val="22"/>
                <w:szCs w:val="22"/>
              </w:rPr>
              <w:t>.</w:t>
            </w:r>
            <w:r w:rsidRPr="00166056">
              <w:rPr>
                <w:sz w:val="22"/>
                <w:szCs w:val="22"/>
              </w:rPr>
              <w:t xml:space="preserve"> </w:t>
            </w:r>
            <w:r w:rsidR="006E4BD7" w:rsidRPr="00166056">
              <w:rPr>
                <w:sz w:val="22"/>
                <w:szCs w:val="22"/>
              </w:rPr>
              <w:t>Система управління та поводження з відходами в Україні.</w:t>
            </w:r>
          </w:p>
        </w:tc>
        <w:tc>
          <w:tcPr>
            <w:tcW w:w="1985" w:type="dxa"/>
          </w:tcPr>
          <w:p w:rsidR="00393934" w:rsidRPr="00166056" w:rsidRDefault="0072178D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205" w:type="dxa"/>
          </w:tcPr>
          <w:p w:rsidR="00393934" w:rsidRPr="00166056" w:rsidRDefault="00007861" w:rsidP="0000786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Знати основну нормативно-правову базу в  сфері поводження з відходами. Розуміти загальну структура державного управління відходами.  Знати система управління у сфері транскордонного перевезення відходів в Україні </w:t>
            </w:r>
          </w:p>
        </w:tc>
        <w:tc>
          <w:tcPr>
            <w:tcW w:w="1802" w:type="dxa"/>
          </w:tcPr>
          <w:p w:rsidR="00166056" w:rsidRPr="00166056" w:rsidRDefault="000A5B28" w:rsidP="00166056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 xml:space="preserve">Здача лабораторної роботи: 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Економія електроенергії шляхом встановлення автоматичних обмежувачів холостого ходу робочих машин</w:t>
            </w:r>
          </w:p>
          <w:p w:rsidR="00393934" w:rsidRPr="00166056" w:rsidRDefault="00393934" w:rsidP="00D71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861" w:rsidRPr="00166056" w:rsidTr="0072178D">
        <w:tc>
          <w:tcPr>
            <w:tcW w:w="1943" w:type="dxa"/>
          </w:tcPr>
          <w:p w:rsidR="00B5524C" w:rsidRPr="00166056" w:rsidRDefault="00B5524C" w:rsidP="00007861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t xml:space="preserve">Тема </w:t>
            </w:r>
            <w:r w:rsidR="00007861" w:rsidRPr="00166056">
              <w:rPr>
                <w:b/>
                <w:sz w:val="22"/>
                <w:szCs w:val="22"/>
              </w:rPr>
              <w:t>3</w:t>
            </w:r>
            <w:r w:rsidRPr="00166056">
              <w:rPr>
                <w:b/>
                <w:sz w:val="22"/>
                <w:szCs w:val="22"/>
              </w:rPr>
              <w:t>.</w:t>
            </w:r>
            <w:r w:rsidRPr="00166056">
              <w:rPr>
                <w:sz w:val="22"/>
                <w:szCs w:val="22"/>
              </w:rPr>
              <w:t xml:space="preserve"> </w:t>
            </w:r>
            <w:r w:rsidR="006E4BD7" w:rsidRPr="00166056">
              <w:rPr>
                <w:sz w:val="22"/>
                <w:szCs w:val="22"/>
              </w:rPr>
              <w:t>Механізми управління відходами. Система управління та поводження з відходами в країнах Євросоюзу</w:t>
            </w:r>
          </w:p>
        </w:tc>
        <w:tc>
          <w:tcPr>
            <w:tcW w:w="1985" w:type="dxa"/>
          </w:tcPr>
          <w:p w:rsidR="00B5524C" w:rsidRPr="00166056" w:rsidRDefault="0072178D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205" w:type="dxa"/>
          </w:tcPr>
          <w:p w:rsidR="00007861" w:rsidRPr="00007861" w:rsidRDefault="00007861" w:rsidP="0000786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Розуміти основи системи 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управління та поводження з відходами в країнах Євросоюзу</w:t>
            </w:r>
          </w:p>
          <w:p w:rsidR="00B5524C" w:rsidRPr="00166056" w:rsidRDefault="00B5524C" w:rsidP="0000786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802" w:type="dxa"/>
            <w:vAlign w:val="center"/>
          </w:tcPr>
          <w:p w:rsidR="00B5524C" w:rsidRPr="00166056" w:rsidRDefault="00D71D9F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Здача лабораторної роботи:</w:t>
            </w:r>
            <w:r w:rsidR="00B9068B">
              <w:rPr>
                <w:rFonts w:ascii="Times New Roman" w:hAnsi="Times New Roman" w:cs="Times New Roman"/>
              </w:rPr>
              <w:t xml:space="preserve"> </w:t>
            </w:r>
            <w:r w:rsidR="00B9068B" w:rsidRPr="00B9068B">
              <w:rPr>
                <w:rFonts w:ascii="Times New Roman" w:hAnsi="Times New Roman" w:cs="Times New Roman"/>
              </w:rPr>
              <w:t xml:space="preserve"> Розрахунок економії енергії при обігріві робочих місць обігрівачами електричними інфрачервоними промисловими (</w:t>
            </w:r>
            <w:proofErr w:type="spellStart"/>
            <w:r w:rsidR="00B9068B" w:rsidRPr="00B9068B">
              <w:rPr>
                <w:rFonts w:ascii="Times New Roman" w:hAnsi="Times New Roman" w:cs="Times New Roman"/>
              </w:rPr>
              <w:t>ОЕІП</w:t>
            </w:r>
            <w:proofErr w:type="spellEnd"/>
            <w:r w:rsidR="00B9068B" w:rsidRPr="00B906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0" w:type="dxa"/>
          </w:tcPr>
          <w:p w:rsidR="00B5524C" w:rsidRPr="00166056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861" w:rsidRPr="00166056" w:rsidTr="0072178D">
        <w:tc>
          <w:tcPr>
            <w:tcW w:w="1943" w:type="dxa"/>
          </w:tcPr>
          <w:p w:rsidR="00DB20C2" w:rsidRPr="00166056" w:rsidRDefault="00DB20C2" w:rsidP="0072178D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t>Тема</w:t>
            </w:r>
            <w:r w:rsidR="0072178D" w:rsidRPr="00166056">
              <w:rPr>
                <w:b/>
                <w:sz w:val="22"/>
                <w:szCs w:val="22"/>
              </w:rPr>
              <w:t xml:space="preserve"> 4</w:t>
            </w:r>
            <w:r w:rsidRPr="00166056">
              <w:rPr>
                <w:b/>
                <w:sz w:val="22"/>
                <w:szCs w:val="22"/>
              </w:rPr>
              <w:t xml:space="preserve"> .</w:t>
            </w:r>
            <w:r w:rsidRPr="00166056">
              <w:rPr>
                <w:sz w:val="22"/>
                <w:szCs w:val="22"/>
              </w:rPr>
              <w:t xml:space="preserve"> </w:t>
            </w:r>
            <w:r w:rsidR="006E4BD7" w:rsidRPr="00166056">
              <w:rPr>
                <w:sz w:val="22"/>
                <w:szCs w:val="22"/>
              </w:rPr>
              <w:t>Операції щодо поводження з твердими промисловими відходами.</w:t>
            </w:r>
          </w:p>
        </w:tc>
        <w:tc>
          <w:tcPr>
            <w:tcW w:w="1985" w:type="dxa"/>
          </w:tcPr>
          <w:p w:rsidR="00DB20C2" w:rsidRPr="00166056" w:rsidRDefault="0072178D" w:rsidP="0072178D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205" w:type="dxa"/>
          </w:tcPr>
          <w:p w:rsidR="00DB20C2" w:rsidRPr="00166056" w:rsidRDefault="00007861" w:rsidP="00007861">
            <w:pPr>
              <w:pStyle w:val="a8"/>
              <w:ind w:firstLine="0"/>
              <w:rPr>
                <w:sz w:val="22"/>
                <w:szCs w:val="22"/>
              </w:rPr>
            </w:pPr>
            <w:r w:rsidRPr="00166056">
              <w:rPr>
                <w:sz w:val="22"/>
                <w:szCs w:val="22"/>
              </w:rPr>
              <w:t xml:space="preserve"> Знати основні вимоги  операцій поводження з відходами. Володіти методиками підготовки і переробки твердих відходів. Знати способи утилізація промислових відходів </w:t>
            </w:r>
          </w:p>
        </w:tc>
        <w:tc>
          <w:tcPr>
            <w:tcW w:w="1802" w:type="dxa"/>
          </w:tcPr>
          <w:p w:rsidR="00166056" w:rsidRPr="00166056" w:rsidRDefault="00DB20C2" w:rsidP="00166056">
            <w:pPr>
              <w:jc w:val="both"/>
              <w:rPr>
                <w:rFonts w:eastAsia="Times New Roman"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Здача лабораторної роботи: </w:t>
            </w:r>
          </w:p>
          <w:p w:rsidR="00DB20C2" w:rsidRPr="00166056" w:rsidRDefault="00B9068B" w:rsidP="00B9068B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val="uk-UA"/>
              </w:rPr>
            </w:pP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Розрахунок ефективності заміни недовантажених електродвигунів електродвигунами меншої потужності.</w:t>
            </w:r>
          </w:p>
        </w:tc>
        <w:tc>
          <w:tcPr>
            <w:tcW w:w="1410" w:type="dxa"/>
          </w:tcPr>
          <w:p w:rsidR="00DB20C2" w:rsidRPr="00166056" w:rsidRDefault="00166056" w:rsidP="001660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07861" w:rsidRPr="00166056" w:rsidTr="0072178D">
        <w:tc>
          <w:tcPr>
            <w:tcW w:w="1943" w:type="dxa"/>
          </w:tcPr>
          <w:p w:rsidR="006E4BD7" w:rsidRPr="00166056" w:rsidRDefault="006E4BD7" w:rsidP="0072178D">
            <w:pPr>
              <w:pStyle w:val="a6"/>
              <w:jc w:val="left"/>
              <w:rPr>
                <w:b/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lastRenderedPageBreak/>
              <w:t xml:space="preserve">Тема </w:t>
            </w:r>
            <w:r w:rsidR="0072178D" w:rsidRPr="00166056">
              <w:rPr>
                <w:b/>
                <w:sz w:val="22"/>
                <w:szCs w:val="22"/>
              </w:rPr>
              <w:t>5</w:t>
            </w:r>
            <w:r w:rsidRPr="00166056">
              <w:rPr>
                <w:b/>
                <w:sz w:val="22"/>
                <w:szCs w:val="22"/>
              </w:rPr>
              <w:t>.</w:t>
            </w:r>
            <w:r w:rsidRPr="00166056">
              <w:rPr>
                <w:sz w:val="22"/>
                <w:szCs w:val="22"/>
              </w:rPr>
              <w:t xml:space="preserve"> </w:t>
            </w:r>
            <w:r w:rsidRPr="00166056">
              <w:rPr>
                <w:sz w:val="22"/>
                <w:szCs w:val="22"/>
              </w:rPr>
              <w:t>Загальна характеристика твердих побутових відходів.</w:t>
            </w:r>
          </w:p>
        </w:tc>
        <w:tc>
          <w:tcPr>
            <w:tcW w:w="1985" w:type="dxa"/>
          </w:tcPr>
          <w:p w:rsidR="006E4BD7" w:rsidRPr="00166056" w:rsidRDefault="0072178D" w:rsidP="00912A64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205" w:type="dxa"/>
          </w:tcPr>
          <w:p w:rsidR="006E4BD7" w:rsidRPr="00166056" w:rsidRDefault="00007861" w:rsidP="00007861">
            <w:pPr>
              <w:pStyle w:val="a8"/>
              <w:ind w:firstLine="0"/>
              <w:rPr>
                <w:sz w:val="22"/>
                <w:szCs w:val="22"/>
              </w:rPr>
            </w:pPr>
            <w:r w:rsidRPr="00166056">
              <w:rPr>
                <w:sz w:val="22"/>
                <w:szCs w:val="22"/>
              </w:rPr>
              <w:t xml:space="preserve">Володіти питаннями утворення та накопичення </w:t>
            </w:r>
            <w:proofErr w:type="spellStart"/>
            <w:r w:rsidRPr="00166056">
              <w:rPr>
                <w:sz w:val="22"/>
                <w:szCs w:val="22"/>
              </w:rPr>
              <w:t>ТПВ</w:t>
            </w:r>
            <w:proofErr w:type="spellEnd"/>
            <w:r w:rsidRPr="00166056">
              <w:rPr>
                <w:sz w:val="22"/>
                <w:szCs w:val="22"/>
              </w:rPr>
              <w:t xml:space="preserve">, збирання відходів. Знати звітність у сфері поводження з </w:t>
            </w:r>
            <w:proofErr w:type="spellStart"/>
            <w:r w:rsidRPr="00166056">
              <w:rPr>
                <w:sz w:val="22"/>
                <w:szCs w:val="22"/>
              </w:rPr>
              <w:t>ТПВ</w:t>
            </w:r>
            <w:proofErr w:type="spellEnd"/>
            <w:r w:rsidRPr="00166056">
              <w:rPr>
                <w:sz w:val="22"/>
                <w:szCs w:val="22"/>
              </w:rPr>
              <w:t xml:space="preserve"> . Знати організаційні  та соціальні аспекти проблеми </w:t>
            </w:r>
            <w:proofErr w:type="spellStart"/>
            <w:r w:rsidRPr="00166056">
              <w:rPr>
                <w:sz w:val="22"/>
                <w:szCs w:val="22"/>
              </w:rPr>
              <w:t>ТПВ</w:t>
            </w:r>
            <w:proofErr w:type="spellEnd"/>
            <w:r w:rsidRPr="00166056">
              <w:rPr>
                <w:sz w:val="22"/>
                <w:szCs w:val="22"/>
              </w:rPr>
              <w:t xml:space="preserve"> в окремих регіонах Україні</w:t>
            </w:r>
          </w:p>
        </w:tc>
        <w:tc>
          <w:tcPr>
            <w:tcW w:w="1802" w:type="dxa"/>
          </w:tcPr>
          <w:p w:rsidR="00B9068B" w:rsidRPr="00B9068B" w:rsidRDefault="00166056" w:rsidP="00B906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Здача лабораторної роботи: 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Оцінка ефективності заміщення паливними гранулами традиційних видів</w:t>
            </w:r>
          </w:p>
          <w:p w:rsidR="006E4BD7" w:rsidRPr="00166056" w:rsidRDefault="006E4BD7" w:rsidP="00B906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</w:tcPr>
          <w:p w:rsidR="006E4BD7" w:rsidRPr="00166056" w:rsidRDefault="00166056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B20C2" w:rsidRPr="00166056" w:rsidTr="0072178D">
        <w:tc>
          <w:tcPr>
            <w:tcW w:w="7935" w:type="dxa"/>
            <w:gridSpan w:val="4"/>
          </w:tcPr>
          <w:p w:rsidR="00DB20C2" w:rsidRPr="00166056" w:rsidRDefault="00DB20C2" w:rsidP="00312CAF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Всього за 1 семестр</w:t>
            </w:r>
          </w:p>
        </w:tc>
        <w:tc>
          <w:tcPr>
            <w:tcW w:w="1410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007861" w:rsidRPr="00166056" w:rsidTr="0072178D">
        <w:tc>
          <w:tcPr>
            <w:tcW w:w="1943" w:type="dxa"/>
          </w:tcPr>
          <w:p w:rsidR="00DB20C2" w:rsidRPr="00166056" w:rsidRDefault="006E4BD7" w:rsidP="006E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Pr="00166056">
              <w:rPr>
                <w:rFonts w:ascii="Times New Roman" w:hAnsi="Times New Roman" w:cs="Times New Roman"/>
                <w:b/>
              </w:rPr>
              <w:t>алік</w:t>
            </w:r>
          </w:p>
        </w:tc>
        <w:tc>
          <w:tcPr>
            <w:tcW w:w="1985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5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</w:tr>
      <w:tr w:rsidR="006E4BD7" w:rsidRPr="00166056" w:rsidTr="0072178D">
        <w:tc>
          <w:tcPr>
            <w:tcW w:w="7935" w:type="dxa"/>
            <w:gridSpan w:val="4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Всього за І семестр</w:t>
            </w:r>
          </w:p>
        </w:tc>
        <w:tc>
          <w:tcPr>
            <w:tcW w:w="1410" w:type="dxa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E4BD7" w:rsidRPr="00166056" w:rsidTr="0072178D">
        <w:tc>
          <w:tcPr>
            <w:tcW w:w="9345" w:type="dxa"/>
            <w:gridSpan w:val="5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6056">
              <w:rPr>
                <w:rFonts w:ascii="Times New Roman" w:hAnsi="Times New Roman" w:cs="Times New Roman"/>
                <w:b/>
              </w:rPr>
              <w:t>ІІ</w:t>
            </w:r>
            <w:proofErr w:type="spellEnd"/>
            <w:r w:rsidRPr="00166056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</w:tr>
      <w:tr w:rsidR="006E4BD7" w:rsidRPr="00166056" w:rsidTr="0072178D">
        <w:tc>
          <w:tcPr>
            <w:tcW w:w="9345" w:type="dxa"/>
            <w:gridSpan w:val="5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Змістовний модуль 3</w:t>
            </w:r>
            <w:r w:rsidR="0072178D" w:rsidRPr="00166056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72178D" w:rsidRPr="00166056">
              <w:rPr>
                <w:rFonts w:ascii="Times New Roman" w:hAnsi="Times New Roman" w:cs="Times New Roman"/>
                <w:b/>
              </w:rPr>
              <w:t>Енергоекологічна</w:t>
            </w:r>
            <w:proofErr w:type="spellEnd"/>
            <w:r w:rsidR="0072178D" w:rsidRPr="00166056">
              <w:rPr>
                <w:rFonts w:ascii="Times New Roman" w:hAnsi="Times New Roman" w:cs="Times New Roman"/>
                <w:b/>
              </w:rPr>
              <w:t xml:space="preserve"> оцінка сучасних об’єктів проектування </w:t>
            </w:r>
          </w:p>
        </w:tc>
      </w:tr>
      <w:tr w:rsidR="00B9068B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66056">
              <w:rPr>
                <w:rFonts w:ascii="Times New Roman" w:hAnsi="Times New Roman" w:cs="Times New Roman"/>
                <w:b/>
              </w:rPr>
              <w:t>1</w:t>
            </w:r>
            <w:r w:rsidRPr="00166056">
              <w:rPr>
                <w:rFonts w:ascii="Times New Roman" w:hAnsi="Times New Roman" w:cs="Times New Roman"/>
                <w:b/>
              </w:rPr>
              <w:t>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</w:rPr>
              <w:t>Використання моделей щодо якості довкілля в системному аналізі.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Знати моделі та їх види.  Знати основні принципи системного підходу застосування методів та інструментів в системному аналізі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Здача лабораторної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Розрахунок технологічних балансів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9068B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66056">
              <w:rPr>
                <w:rFonts w:ascii="Times New Roman" w:hAnsi="Times New Roman" w:cs="Times New Roman"/>
                <w:b/>
              </w:rPr>
              <w:t>2</w:t>
            </w:r>
            <w:r w:rsidRPr="00166056">
              <w:rPr>
                <w:rFonts w:ascii="Times New Roman" w:hAnsi="Times New Roman" w:cs="Times New Roman"/>
                <w:b/>
              </w:rPr>
              <w:t>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  <w:szCs w:val="28"/>
              </w:rPr>
              <w:t>Сценарії розвитку екологічної ситуації.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Знати аналіз вимог зацікавлених сторін, розробка сценарію розвитку екологічних ситуацій. Вміти  розрахувати рентабельність заходів щодо покращення екологічної ситуації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Здача лабораторної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Визначення типу пластмас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068B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66056">
              <w:rPr>
                <w:rFonts w:ascii="Times New Roman" w:hAnsi="Times New Roman" w:cs="Times New Roman"/>
                <w:b/>
              </w:rPr>
              <w:t>3</w:t>
            </w:r>
            <w:r w:rsidRPr="00166056">
              <w:rPr>
                <w:rFonts w:ascii="Times New Roman" w:hAnsi="Times New Roman" w:cs="Times New Roman"/>
                <w:b/>
              </w:rPr>
              <w:t>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Механізми покращення стану довкілля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Розуміти б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 xml:space="preserve">агатокритеріальний аналіз для ефективних еколого-економічних  природоохоронних рішень. 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Вміти виконувати е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кологічн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у оцінку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 xml:space="preserve"> життєвою циклу виробництва продукту. 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Здача лабораторної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Розрахунок конструкторських рішень покращення життєвого циклу об’єкту проектування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9068B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66056">
              <w:rPr>
                <w:rFonts w:ascii="Times New Roman" w:hAnsi="Times New Roman" w:cs="Times New Roman"/>
                <w:b/>
              </w:rPr>
              <w:t>4</w:t>
            </w:r>
            <w:r w:rsidRPr="00166056">
              <w:rPr>
                <w:rFonts w:ascii="Times New Roman" w:hAnsi="Times New Roman" w:cs="Times New Roman"/>
                <w:b/>
              </w:rPr>
              <w:t>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Оцінка стану та якості природних екосистем.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 xml:space="preserve">Знати методи нормативно-правового регулювання природоохоронної діяльності. Знати методи і критерії оцінки стану довкілля. Знати екологічну оцінка </w:t>
            </w:r>
            <w:proofErr w:type="spellStart"/>
            <w:r w:rsidRPr="00166056">
              <w:rPr>
                <w:rFonts w:ascii="Times New Roman" w:hAnsi="Times New Roman" w:cs="Times New Roman"/>
              </w:rPr>
              <w:t>спіну</w:t>
            </w:r>
            <w:proofErr w:type="spellEnd"/>
            <w:r w:rsidRPr="00166056">
              <w:rPr>
                <w:rFonts w:ascii="Times New Roman" w:hAnsi="Times New Roman" w:cs="Times New Roman"/>
              </w:rPr>
              <w:t xml:space="preserve"> та якості довкілля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Здача лабораторної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 xml:space="preserve"> перевідн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коефіцієнти парникового ефекту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9068B" w:rsidRPr="00166056" w:rsidTr="0072178D">
        <w:tc>
          <w:tcPr>
            <w:tcW w:w="9345" w:type="dxa"/>
            <w:gridSpan w:val="5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Змістовний модуль 4 </w:t>
            </w:r>
            <w:r w:rsidRPr="00166056">
              <w:rPr>
                <w:rFonts w:ascii="Times New Roman" w:hAnsi="Times New Roman" w:cs="Times New Roman"/>
                <w:b/>
                <w:szCs w:val="28"/>
                <w:lang w:eastAsia="uk-UA"/>
              </w:rPr>
              <w:t>Життєвий цикл об’єкту проектування</w:t>
            </w:r>
          </w:p>
        </w:tc>
      </w:tr>
      <w:tr w:rsidR="00B9068B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66056">
              <w:rPr>
                <w:rFonts w:ascii="Times New Roman" w:hAnsi="Times New Roman" w:cs="Times New Roman"/>
                <w:b/>
              </w:rPr>
              <w:t>1</w:t>
            </w:r>
            <w:r w:rsidRPr="00166056">
              <w:rPr>
                <w:rFonts w:ascii="Times New Roman" w:hAnsi="Times New Roman" w:cs="Times New Roman"/>
                <w:b/>
              </w:rPr>
              <w:t>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</w:rPr>
              <w:t>Життєвий цикл деталі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  <w:szCs w:val="28"/>
              </w:rPr>
              <w:t>Розуміти ос</w:t>
            </w:r>
            <w:r w:rsidRPr="00166056">
              <w:rPr>
                <w:rFonts w:ascii="Times New Roman" w:hAnsi="Times New Roman" w:cs="Times New Roman"/>
                <w:szCs w:val="28"/>
              </w:rPr>
              <w:t xml:space="preserve">новні процеси життєвого циклу деталі. </w:t>
            </w:r>
            <w:r w:rsidRPr="00166056">
              <w:rPr>
                <w:rFonts w:ascii="Times New Roman" w:hAnsi="Times New Roman" w:cs="Times New Roman"/>
                <w:szCs w:val="28"/>
              </w:rPr>
              <w:t>Вміти розробляти п</w:t>
            </w:r>
            <w:r w:rsidRPr="00166056">
              <w:rPr>
                <w:rFonts w:ascii="Times New Roman" w:hAnsi="Times New Roman" w:cs="Times New Roman"/>
                <w:szCs w:val="28"/>
              </w:rPr>
              <w:t>лани розвитку процес</w:t>
            </w:r>
            <w:r w:rsidRPr="00166056">
              <w:rPr>
                <w:rFonts w:ascii="Times New Roman" w:hAnsi="Times New Roman" w:cs="Times New Roman"/>
                <w:szCs w:val="28"/>
              </w:rPr>
              <w:t>ів життєвого циклу</w:t>
            </w:r>
            <w:r w:rsidRPr="00166056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166056">
              <w:rPr>
                <w:rFonts w:ascii="Times New Roman" w:hAnsi="Times New Roman" w:cs="Times New Roman"/>
                <w:szCs w:val="28"/>
              </w:rPr>
              <w:lastRenderedPageBreak/>
              <w:t>Знати м</w:t>
            </w:r>
            <w:r w:rsidRPr="00166056">
              <w:rPr>
                <w:rFonts w:ascii="Times New Roman" w:hAnsi="Times New Roman" w:cs="Times New Roman"/>
                <w:szCs w:val="28"/>
              </w:rPr>
              <w:t xml:space="preserve">етоди контролю якості деталі. </w:t>
            </w:r>
            <w:r w:rsidRPr="00166056">
              <w:rPr>
                <w:rFonts w:ascii="Times New Roman" w:hAnsi="Times New Roman" w:cs="Times New Roman"/>
                <w:szCs w:val="28"/>
              </w:rPr>
              <w:t>Вміти д</w:t>
            </w:r>
            <w:r w:rsidRPr="00166056">
              <w:rPr>
                <w:rFonts w:ascii="Times New Roman" w:hAnsi="Times New Roman" w:cs="Times New Roman"/>
                <w:szCs w:val="28"/>
              </w:rPr>
              <w:t>окументування процесу розробки.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Здача лабораторної роботи: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Картографування загальної  системи життє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вого циклу об'єкта проектування 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</w:tr>
      <w:tr w:rsidR="00B9068B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lastRenderedPageBreak/>
              <w:t xml:space="preserve">Тема </w:t>
            </w:r>
            <w:r w:rsidRPr="00166056">
              <w:rPr>
                <w:rFonts w:ascii="Times New Roman" w:hAnsi="Times New Roman" w:cs="Times New Roman"/>
                <w:b/>
              </w:rPr>
              <w:t>2</w:t>
            </w:r>
            <w:r w:rsidRPr="00166056">
              <w:rPr>
                <w:rFonts w:ascii="Times New Roman" w:hAnsi="Times New Roman" w:cs="Times New Roman"/>
                <w:b/>
              </w:rPr>
              <w:t>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</w:rPr>
              <w:t>Інструменти екологічного менеджменту. Аналіз життєвого циклу продукції (</w:t>
            </w:r>
            <w:proofErr w:type="spellStart"/>
            <w:r w:rsidRPr="00166056">
              <w:rPr>
                <w:rFonts w:ascii="Times New Roman" w:hAnsi="Times New Roman" w:cs="Times New Roman"/>
              </w:rPr>
              <w:t>АЖЦ</w:t>
            </w:r>
            <w:proofErr w:type="spellEnd"/>
            <w:r w:rsidRPr="001660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 xml:space="preserve">Розуміти концепцію життєвого циклу. Знати розвиток концепції життєвого циклу. Розуміти області практичного використання </w:t>
            </w:r>
            <w:proofErr w:type="spellStart"/>
            <w:r w:rsidRPr="00166056">
              <w:rPr>
                <w:rFonts w:ascii="Times New Roman" w:hAnsi="Times New Roman" w:cs="Times New Roman"/>
              </w:rPr>
              <w:t>АЖЦ</w:t>
            </w:r>
            <w:proofErr w:type="spellEnd"/>
            <w:r w:rsidRPr="0016605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68B">
              <w:rPr>
                <w:rFonts w:ascii="Times New Roman" w:hAnsi="Times New Roman" w:cs="Times New Roman"/>
              </w:rPr>
              <w:t>Здача лабораторної роботи:  Аналіз інвентаризаційного циклу об’єкта конструюван</w:t>
            </w:r>
            <w:bookmarkStart w:id="0" w:name="_GoBack"/>
            <w:bookmarkEnd w:id="0"/>
            <w:r w:rsidRPr="00B9068B">
              <w:rPr>
                <w:rFonts w:ascii="Times New Roman" w:hAnsi="Times New Roman" w:cs="Times New Roman"/>
              </w:rPr>
              <w:t>ня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9068B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66056">
              <w:rPr>
                <w:rFonts w:ascii="Times New Roman" w:hAnsi="Times New Roman" w:cs="Times New Roman"/>
                <w:b/>
              </w:rPr>
              <w:t>3</w:t>
            </w:r>
            <w:r w:rsidRPr="00166056">
              <w:rPr>
                <w:rFonts w:ascii="Times New Roman" w:hAnsi="Times New Roman" w:cs="Times New Roman"/>
                <w:b/>
              </w:rPr>
              <w:t>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</w:rPr>
              <w:t>Аналіз життєвого циклу (</w:t>
            </w:r>
            <w:proofErr w:type="spellStart"/>
            <w:r w:rsidRPr="00166056">
              <w:rPr>
                <w:rFonts w:ascii="Times New Roman" w:hAnsi="Times New Roman" w:cs="Times New Roman"/>
              </w:rPr>
              <w:t>LCA</w:t>
            </w:r>
            <w:proofErr w:type="spellEnd"/>
            <w:r w:rsidRPr="00166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3</w:t>
            </w:r>
            <w:r w:rsidRPr="00166056">
              <w:rPr>
                <w:rFonts w:ascii="Times New Roman" w:hAnsi="Times New Roman" w:cs="Times New Roman"/>
              </w:rPr>
              <w:t>/</w:t>
            </w:r>
            <w:r w:rsidRPr="00166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 xml:space="preserve">Вміти визначати мету і межі </w:t>
            </w:r>
            <w:proofErr w:type="spellStart"/>
            <w:r w:rsidRPr="00166056">
              <w:rPr>
                <w:rFonts w:ascii="Times New Roman" w:hAnsi="Times New Roman" w:cs="Times New Roman"/>
              </w:rPr>
              <w:t>LCA</w:t>
            </w:r>
            <w:proofErr w:type="spellEnd"/>
            <w:r w:rsidRPr="00166056">
              <w:rPr>
                <w:rFonts w:ascii="Times New Roman" w:hAnsi="Times New Roman" w:cs="Times New Roman"/>
              </w:rPr>
              <w:t>, інвентаризаційного  аналізу (тобто аналіз потоків матеріалів і енергії); вміти виконувати екологічну оцінка впливів;  інтерпретацію результатів, аналіз удосконалення, рекомендації.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Здача лабораторної роботи: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Виконати розрахунок викидів </w:t>
            </w:r>
            <w:proofErr w:type="spellStart"/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Pr="0016605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spellEnd"/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 при вирощуванні сільськогосподарських культур.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9068B" w:rsidRPr="00166056" w:rsidTr="0072178D">
        <w:tc>
          <w:tcPr>
            <w:tcW w:w="7935" w:type="dxa"/>
            <w:gridSpan w:val="4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Всього за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семестр 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B9068B" w:rsidRPr="00166056" w:rsidTr="0072178D">
        <w:tc>
          <w:tcPr>
            <w:tcW w:w="7935" w:type="dxa"/>
            <w:gridSpan w:val="4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1410" w:type="dxa"/>
          </w:tcPr>
          <w:p w:rsidR="00B9068B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B9068B" w:rsidRPr="00166056" w:rsidTr="0072178D">
        <w:tc>
          <w:tcPr>
            <w:tcW w:w="7935" w:type="dxa"/>
            <w:gridSpan w:val="4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Всього за курс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EC07A1" w:rsidRPr="00D71D9F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6725" w:rsidRPr="00D71D9F" w:rsidRDefault="00756725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0933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6757"/>
      </w:tblGrid>
      <w:tr w:rsidR="00130933" w:rsidRPr="00D71D9F" w:rsidTr="00130933">
        <w:tc>
          <w:tcPr>
            <w:tcW w:w="2660" w:type="dxa"/>
          </w:tcPr>
          <w:p w:rsidR="00130933" w:rsidRPr="00D71D9F" w:rsidRDefault="00130933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t xml:space="preserve">Політика щодо </w:t>
            </w:r>
            <w:proofErr w:type="spellStart"/>
            <w:r w:rsidRPr="00D71D9F">
              <w:rPr>
                <w:rFonts w:ascii="Times New Roman" w:hAnsi="Times New Roman" w:cs="Times New Roman"/>
                <w:b/>
                <w:i/>
              </w:rPr>
              <w:t>дедлайнів</w:t>
            </w:r>
            <w:proofErr w:type="spellEnd"/>
            <w:r w:rsidRPr="00D71D9F">
              <w:rPr>
                <w:rFonts w:ascii="Times New Roman" w:hAnsi="Times New Roman" w:cs="Times New Roman"/>
                <w:b/>
                <w:i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F16365" w:rsidRPr="00D71D9F" w:rsidRDefault="00432628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Роботи, які здаються із порушенням термінів без поважних причин, оцінюються на нижчу оцінку (-0,5</w:t>
            </w:r>
            <w:r w:rsidR="00F16365" w:rsidRPr="00D71D9F">
              <w:rPr>
                <w:rFonts w:ascii="Times New Roman" w:hAnsi="Times New Roman" w:cs="Times New Roman"/>
              </w:rPr>
              <w:t> </w:t>
            </w:r>
            <w:r w:rsidRPr="00D71D9F">
              <w:rPr>
                <w:rFonts w:ascii="Times New Roman" w:hAnsi="Times New Roman" w:cs="Times New Roman"/>
              </w:rPr>
              <w:t>бала). Перескладання модулів відбувається із дозволу деканату за наявності поважних причин.</w:t>
            </w:r>
            <w:r w:rsidR="00F16365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Здавати самостійні роботи та завдання у визначені терміни.</w:t>
            </w:r>
            <w:r w:rsidR="00F16365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Обов'язковою є присутність студента на модульному та підсумковому контролях.</w:t>
            </w:r>
          </w:p>
          <w:p w:rsidR="00130933" w:rsidRPr="00D71D9F" w:rsidRDefault="00432628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Уся література, яку студенти не зможуть знайти самостійно, буде надана викладачем у друкованому або електронному вигляді виключно в освітніх цілях без права її передачі третім особам. Студенти заохочуються до використання також й іншої літератури та джерел, яких немає серед рекомендованих.</w:t>
            </w:r>
          </w:p>
        </w:tc>
      </w:tr>
      <w:tr w:rsidR="00130933" w:rsidRPr="00D71D9F" w:rsidTr="00130933">
        <w:tc>
          <w:tcPr>
            <w:tcW w:w="2660" w:type="dxa"/>
          </w:tcPr>
          <w:p w:rsidR="00130933" w:rsidRPr="00D71D9F" w:rsidRDefault="00544D46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D71D9F" w:rsidRDefault="00F16365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 xml:space="preserve">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т.ч. із використанням мобільних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девайсів</w:t>
            </w:r>
            <w:proofErr w:type="spellEnd"/>
            <w:r w:rsidRPr="00D71D9F">
              <w:rPr>
                <w:rFonts w:ascii="Times New Roman" w:hAnsi="Times New Roman" w:cs="Times New Roman"/>
              </w:rPr>
              <w:t>). Мобільні пристрої дозволяється використовувати лише під час он-лайн тестування. Положення про академічну доброчесність у Національному університеті біоресурсів та природокористування України затверджене Вченою радою НУБіП України від «28» лютого 2018 р., протокол №7: https://nubip.edu.ua/node/12654</w:t>
            </w:r>
          </w:p>
        </w:tc>
      </w:tr>
      <w:tr w:rsidR="00130933" w:rsidRPr="00D71D9F" w:rsidTr="00130933">
        <w:tc>
          <w:tcPr>
            <w:tcW w:w="2660" w:type="dxa"/>
          </w:tcPr>
          <w:p w:rsidR="00130933" w:rsidRPr="00D71D9F" w:rsidRDefault="00544D46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D71D9F" w:rsidRDefault="00F16365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Відвідування занять є обов’язковим компонентом оцінювання, за яке нараховуються бали. Очікується, що всі студенти відвідають усі лекції і лабораторні зайняття курсу. Студенти мають інформувати викладача про неможливість відвідувати заняття. Допускається 2 пропуски з поважних причин, які не впливатимуть на систему оцінювання. Про відсутність з поважних причин доводити до відома викладача заздалегідь. За об’єктивних причин (наприклад, хвороба, міжнародна мобільність) навчання може відбуватись в он-лайн формі за погодженням із деканом факультету. У будь-якому випадку студенти зобов’язані дотримуватися усіх строків визначених для виконання усіх видів письмових робіт, передбачених курсом.</w:t>
            </w:r>
          </w:p>
        </w:tc>
      </w:tr>
    </w:tbl>
    <w:p w:rsidR="00130933" w:rsidRPr="00D71D9F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0933" w:rsidRPr="00D71D9F" w:rsidRDefault="00130933" w:rsidP="00130933">
      <w:pPr>
        <w:spacing w:after="0" w:line="240" w:lineRule="auto"/>
        <w:rPr>
          <w:rFonts w:ascii="Times New Roman" w:hAnsi="Times New Roman" w:cs="Times New Roman"/>
        </w:rPr>
      </w:pPr>
    </w:p>
    <w:p w:rsidR="00130933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3"/>
        <w:gridCol w:w="3112"/>
      </w:tblGrid>
      <w:tr w:rsidR="00A71D92" w:rsidRPr="00D71D9F" w:rsidTr="00B5524C">
        <w:tc>
          <w:tcPr>
            <w:tcW w:w="2376" w:type="dxa"/>
            <w:vMerge w:val="restart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A71D92" w:rsidRPr="00D71D9F" w:rsidTr="00A71D92">
        <w:tc>
          <w:tcPr>
            <w:tcW w:w="2376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е</w:t>
            </w:r>
            <w:r w:rsidR="00A96EF1" w:rsidRPr="00D71D9F">
              <w:rPr>
                <w:rFonts w:ascii="Times New Roman" w:hAnsi="Times New Roman" w:cs="Times New Roman"/>
                <w:b/>
              </w:rPr>
              <w:t>к</w:t>
            </w:r>
            <w:r w:rsidRPr="00D71D9F">
              <w:rPr>
                <w:rFonts w:ascii="Times New Roman" w:hAnsi="Times New Roman" w:cs="Times New Roman"/>
                <w:b/>
              </w:rPr>
              <w:t>заменів</w:t>
            </w:r>
          </w:p>
        </w:tc>
        <w:tc>
          <w:tcPr>
            <w:tcW w:w="3191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заліків</w:t>
            </w: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зараховано</w:t>
            </w: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74-89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60-73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0-59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3191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не</w:t>
            </w:r>
            <w:r w:rsidR="00A96EF1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зараховано</w:t>
            </w:r>
          </w:p>
        </w:tc>
      </w:tr>
    </w:tbl>
    <w:p w:rsidR="00544D46" w:rsidRPr="00D71D9F" w:rsidRDefault="00544D46" w:rsidP="000A77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44D46" w:rsidRPr="00D71D9F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07861"/>
    <w:rsid w:val="000A5B28"/>
    <w:rsid w:val="000A778A"/>
    <w:rsid w:val="00124709"/>
    <w:rsid w:val="00125DA4"/>
    <w:rsid w:val="00130933"/>
    <w:rsid w:val="00141584"/>
    <w:rsid w:val="001431F8"/>
    <w:rsid w:val="0014350B"/>
    <w:rsid w:val="001626FE"/>
    <w:rsid w:val="00166056"/>
    <w:rsid w:val="001D7EBF"/>
    <w:rsid w:val="001F2BDC"/>
    <w:rsid w:val="0020200E"/>
    <w:rsid w:val="00210A51"/>
    <w:rsid w:val="002323FD"/>
    <w:rsid w:val="00246136"/>
    <w:rsid w:val="002922EE"/>
    <w:rsid w:val="002A21F5"/>
    <w:rsid w:val="002E4DB4"/>
    <w:rsid w:val="002F79FF"/>
    <w:rsid w:val="00312CAF"/>
    <w:rsid w:val="00393934"/>
    <w:rsid w:val="003F179A"/>
    <w:rsid w:val="00416B2F"/>
    <w:rsid w:val="00432628"/>
    <w:rsid w:val="005408B2"/>
    <w:rsid w:val="00541072"/>
    <w:rsid w:val="00544D46"/>
    <w:rsid w:val="00581698"/>
    <w:rsid w:val="005A482B"/>
    <w:rsid w:val="005C2124"/>
    <w:rsid w:val="005D323C"/>
    <w:rsid w:val="005F4A18"/>
    <w:rsid w:val="00620274"/>
    <w:rsid w:val="00654D54"/>
    <w:rsid w:val="006660D7"/>
    <w:rsid w:val="00673EF3"/>
    <w:rsid w:val="0067621D"/>
    <w:rsid w:val="006C6A1D"/>
    <w:rsid w:val="006E4BD7"/>
    <w:rsid w:val="006E572F"/>
    <w:rsid w:val="00711226"/>
    <w:rsid w:val="0072178D"/>
    <w:rsid w:val="007246C9"/>
    <w:rsid w:val="00756725"/>
    <w:rsid w:val="007830CD"/>
    <w:rsid w:val="00794C0D"/>
    <w:rsid w:val="0079503A"/>
    <w:rsid w:val="00841531"/>
    <w:rsid w:val="00880706"/>
    <w:rsid w:val="008927AA"/>
    <w:rsid w:val="0090444D"/>
    <w:rsid w:val="00912A64"/>
    <w:rsid w:val="0091718A"/>
    <w:rsid w:val="00A06FB5"/>
    <w:rsid w:val="00A13072"/>
    <w:rsid w:val="00A22189"/>
    <w:rsid w:val="00A25761"/>
    <w:rsid w:val="00A71D92"/>
    <w:rsid w:val="00A96EF1"/>
    <w:rsid w:val="00AC2AB0"/>
    <w:rsid w:val="00AD2031"/>
    <w:rsid w:val="00AF766B"/>
    <w:rsid w:val="00B5524C"/>
    <w:rsid w:val="00B9068B"/>
    <w:rsid w:val="00BB3E41"/>
    <w:rsid w:val="00BE4566"/>
    <w:rsid w:val="00C42C22"/>
    <w:rsid w:val="00C5242D"/>
    <w:rsid w:val="00C57706"/>
    <w:rsid w:val="00CD0115"/>
    <w:rsid w:val="00D00999"/>
    <w:rsid w:val="00D02B5A"/>
    <w:rsid w:val="00D12D7E"/>
    <w:rsid w:val="00D71D9F"/>
    <w:rsid w:val="00DB20C2"/>
    <w:rsid w:val="00DD61F5"/>
    <w:rsid w:val="00DD7841"/>
    <w:rsid w:val="00E077C1"/>
    <w:rsid w:val="00E22BF8"/>
    <w:rsid w:val="00E73308"/>
    <w:rsid w:val="00EB67DA"/>
    <w:rsid w:val="00EC07A1"/>
    <w:rsid w:val="00ED3451"/>
    <w:rsid w:val="00EF26D0"/>
    <w:rsid w:val="00F11939"/>
    <w:rsid w:val="00F16365"/>
    <w:rsid w:val="00F44D71"/>
    <w:rsid w:val="00F517A3"/>
    <w:rsid w:val="00F82151"/>
    <w:rsid w:val="00FC05BF"/>
    <w:rsid w:val="00FD4880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E5A01"/>
  <w15:docId w15:val="{7B5700CE-E983-4466-A4DD-2BB6E58F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61F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17365D" w:themeColor="text2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2">
    <w:name w:val="Font Style12"/>
    <w:rsid w:val="00AC2AB0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 Indent"/>
    <w:basedOn w:val="a"/>
    <w:link w:val="a9"/>
    <w:uiPriority w:val="99"/>
    <w:rsid w:val="00DB20C2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DB20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1F5"/>
    <w:rPr>
      <w:rFonts w:ascii="Times New Roman" w:hAnsi="Times New Roman" w:cs="Times New Roman"/>
      <w:b/>
      <w:color w:val="17365D" w:themeColor="text2" w:themeShade="BF"/>
    </w:rPr>
  </w:style>
  <w:style w:type="paragraph" w:styleId="aa">
    <w:name w:val="Body Text"/>
    <w:basedOn w:val="a"/>
    <w:link w:val="ab"/>
    <w:uiPriority w:val="99"/>
    <w:unhideWhenUsed/>
    <w:rsid w:val="006C6A1D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b">
    <w:name w:val="Основний текст Знак"/>
    <w:basedOn w:val="a0"/>
    <w:link w:val="aa"/>
    <w:uiPriority w:val="99"/>
    <w:rsid w:val="006C6A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650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5717</Words>
  <Characters>3260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Користувач Windows</cp:lastModifiedBy>
  <cp:revision>4</cp:revision>
  <dcterms:created xsi:type="dcterms:W3CDTF">2020-06-24T18:56:00Z</dcterms:created>
  <dcterms:modified xsi:type="dcterms:W3CDTF">2020-06-24T19:37:00Z</dcterms:modified>
</cp:coreProperties>
</file>