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2FD2" w14:textId="77777777" w:rsidR="00ED0E4A" w:rsidRPr="00295455" w:rsidRDefault="00ED0E4A" w:rsidP="00ED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5">
        <w:rPr>
          <w:rFonts w:ascii="Times New Roman" w:hAnsi="Times New Roman" w:cs="Times New Roman"/>
          <w:b/>
          <w:sz w:val="24"/>
          <w:szCs w:val="24"/>
        </w:rPr>
        <w:t>Інвестиційна політика</w:t>
      </w:r>
    </w:p>
    <w:p w14:paraId="5DBA5564" w14:textId="77777777" w:rsidR="00ED0E4A" w:rsidRPr="00295455" w:rsidRDefault="00ED0E4A" w:rsidP="00ED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5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Pr="00295455">
        <w:rPr>
          <w:rFonts w:ascii="Times New Roman" w:hAnsi="Times New Roman" w:cs="Times New Roman"/>
          <w:b/>
          <w:sz w:val="24"/>
          <w:szCs w:val="24"/>
        </w:rPr>
        <w:t>виробничого та інвестиційного менеджменту</w:t>
      </w:r>
    </w:p>
    <w:p w14:paraId="506ACFD1" w14:textId="77777777" w:rsidR="00ED0E4A" w:rsidRPr="00295455" w:rsidRDefault="00ED0E4A" w:rsidP="00ED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5">
        <w:rPr>
          <w:rFonts w:ascii="Times New Roman" w:hAnsi="Times New Roman" w:cs="Times New Roman"/>
          <w:b/>
          <w:sz w:val="24"/>
          <w:szCs w:val="24"/>
        </w:rPr>
        <w:t>Факультет аграрного менеджменту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765"/>
      </w:tblGrid>
      <w:tr w:rsidR="00ED0E4A" w:rsidRPr="00295455" w14:paraId="00E07A28" w14:textId="77777777" w:rsidTr="004F63B5">
        <w:tc>
          <w:tcPr>
            <w:tcW w:w="3686" w:type="dxa"/>
            <w:vAlign w:val="center"/>
          </w:tcPr>
          <w:p w14:paraId="2CB373BF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B6C32A9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Д.е.н., доцент </w:t>
            </w: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Дєліні М.М</w:t>
            </w: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0E4A" w:rsidRPr="00295455" w14:paraId="445A439E" w14:textId="77777777" w:rsidTr="004F63B5">
        <w:tc>
          <w:tcPr>
            <w:tcW w:w="3686" w:type="dxa"/>
            <w:vAlign w:val="center"/>
          </w:tcPr>
          <w:p w14:paraId="3EBAEE47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453F7E8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0E4A" w:rsidRPr="00295455" w14:paraId="77904702" w14:textId="77777777" w:rsidTr="004F63B5">
        <w:tc>
          <w:tcPr>
            <w:tcW w:w="3686" w:type="dxa"/>
            <w:vAlign w:val="center"/>
          </w:tcPr>
          <w:p w14:paraId="55E0D10D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2CC0B298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Доктор філософії</w:t>
            </w:r>
          </w:p>
        </w:tc>
      </w:tr>
      <w:tr w:rsidR="00ED0E4A" w:rsidRPr="00295455" w14:paraId="45E68005" w14:textId="77777777" w:rsidTr="004F63B5">
        <w:tc>
          <w:tcPr>
            <w:tcW w:w="3686" w:type="dxa"/>
            <w:vAlign w:val="center"/>
          </w:tcPr>
          <w:p w14:paraId="7501171A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5E0388E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0E4A" w:rsidRPr="00295455" w14:paraId="159D5493" w14:textId="77777777" w:rsidTr="004F63B5">
        <w:tc>
          <w:tcPr>
            <w:tcW w:w="3686" w:type="dxa"/>
            <w:vAlign w:val="center"/>
          </w:tcPr>
          <w:p w14:paraId="36CA10E4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0F6C2D7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ED0E4A" w:rsidRPr="00295455" w14:paraId="0479BD99" w14:textId="77777777" w:rsidTr="004F63B5">
        <w:tc>
          <w:tcPr>
            <w:tcW w:w="3686" w:type="dxa"/>
            <w:vAlign w:val="center"/>
          </w:tcPr>
          <w:p w14:paraId="4FC25429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D23762E" w14:textId="77777777" w:rsidR="00ED0E4A" w:rsidRPr="00295455" w:rsidRDefault="00ED0E4A" w:rsidP="004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9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4D6B45DC" w14:textId="77777777" w:rsidR="00ED0E4A" w:rsidRPr="00295455" w:rsidRDefault="00ED0E4A" w:rsidP="00F71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763FA5D" w14:textId="77777777" w:rsidR="00BE13CE" w:rsidRPr="00295455" w:rsidRDefault="00BE13CE" w:rsidP="00F714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Предметом дисципліни «Інвестиційна політика» є питання сучасних теоретичних і практичних основ формування, реалізації та моніторингу ефективності інвестиційної політики державного, регіонального та підприємницького рівнів, а також методи прийняття інвестиційних рішень. </w:t>
      </w:r>
    </w:p>
    <w:p w14:paraId="41889BC6" w14:textId="77777777" w:rsidR="00BE13CE" w:rsidRPr="00295455" w:rsidRDefault="00BE13CE" w:rsidP="00F714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Метою вивчення дисципліни є формування у здобувачів професійних знань та компетентностей по розробці, втілення та контролю інвестиційної політики на різних рівнях: підприємства, регіону, держави. </w:t>
      </w:r>
    </w:p>
    <w:p w14:paraId="30CCDA8A" w14:textId="77777777" w:rsidR="00BE13CE" w:rsidRPr="00295455" w:rsidRDefault="00BE13CE" w:rsidP="00F714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Актуальність дисципліни обумовлена необхідністю залучення додаткового капіталу до вітчизняних ринків товарів та послуг з метою покращення економічного стану в Україні, підвищення конкурентоздатності українських підприємств та галузей, зростання інноваційності виробництва товарів та послуг, надання нових економічних можливостей громадянам України. Опанування дисципліни «Інвестиційна політика» дає майбутнім спеціалістам можливість оволодіти компететнтностями з формулювання проблеми, розробки комплексу інвестиційних рішень та обрання найкращих варіантів, реалізації обраної інвестиційної політики. </w:t>
      </w:r>
    </w:p>
    <w:p w14:paraId="3DE8B148" w14:textId="77777777" w:rsidR="00BE13CE" w:rsidRPr="00295455" w:rsidRDefault="00BE13CE" w:rsidP="00F714F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>Основними компетентностями, якими повинен володіти здобувач під вивчення дисципліни є:</w:t>
      </w:r>
    </w:p>
    <w:p w14:paraId="22E5E622" w14:textId="77777777" w:rsidR="00BE13CE" w:rsidRPr="00295455" w:rsidRDefault="00BE13CE" w:rsidP="00F714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455">
        <w:rPr>
          <w:rFonts w:ascii="Times New Roman" w:hAnsi="Times New Roman"/>
          <w:sz w:val="24"/>
          <w:szCs w:val="24"/>
          <w:lang w:val="uk-UA"/>
        </w:rPr>
        <w:t>- з</w:t>
      </w:r>
      <w:r w:rsidRPr="00295455">
        <w:rPr>
          <w:rFonts w:ascii="Times New Roman" w:hAnsi="Times New Roman"/>
          <w:sz w:val="24"/>
          <w:szCs w:val="24"/>
        </w:rPr>
        <w:t xml:space="preserve">датність до </w:t>
      </w:r>
      <w:r w:rsidRPr="00295455">
        <w:rPr>
          <w:rFonts w:ascii="Times New Roman" w:hAnsi="Times New Roman"/>
          <w:sz w:val="24"/>
          <w:szCs w:val="24"/>
          <w:lang w:val="uk-UA"/>
        </w:rPr>
        <w:t xml:space="preserve">логічних висновків, </w:t>
      </w:r>
      <w:r w:rsidRPr="00295455">
        <w:rPr>
          <w:rFonts w:ascii="Times New Roman" w:hAnsi="Times New Roman"/>
          <w:sz w:val="24"/>
          <w:szCs w:val="24"/>
        </w:rPr>
        <w:t>абстрактного мислення, аналізу та синтезу</w:t>
      </w:r>
      <w:r w:rsidRPr="00295455">
        <w:rPr>
          <w:rFonts w:ascii="Times New Roman" w:hAnsi="Times New Roman"/>
          <w:sz w:val="24"/>
          <w:szCs w:val="24"/>
          <w:lang w:val="uk-UA"/>
        </w:rPr>
        <w:t>;</w:t>
      </w:r>
    </w:p>
    <w:p w14:paraId="68BA6B0F" w14:textId="77777777" w:rsidR="00BE13CE" w:rsidRPr="00295455" w:rsidRDefault="00BE13CE" w:rsidP="00F7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455">
        <w:rPr>
          <w:rFonts w:ascii="Times New Roman" w:hAnsi="Times New Roman"/>
          <w:sz w:val="24"/>
          <w:szCs w:val="24"/>
          <w:lang w:val="ru-RU"/>
        </w:rPr>
        <w:t>- з</w:t>
      </w:r>
      <w:r w:rsidRPr="00295455">
        <w:rPr>
          <w:rFonts w:ascii="Times New Roman" w:hAnsi="Times New Roman"/>
          <w:sz w:val="24"/>
          <w:szCs w:val="24"/>
        </w:rPr>
        <w:t>датність до аналізу наукових надбань в сфері досліджень інвестицій, методів покращення інвестиційного клімату, інвестиційної політки;</w:t>
      </w:r>
    </w:p>
    <w:p w14:paraId="52AA0DF1" w14:textId="77777777" w:rsidR="00BE13CE" w:rsidRPr="00295455" w:rsidRDefault="00BE13CE" w:rsidP="00F7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455">
        <w:rPr>
          <w:rFonts w:ascii="Times New Roman" w:hAnsi="Times New Roman"/>
          <w:sz w:val="24"/>
          <w:szCs w:val="24"/>
        </w:rPr>
        <w:t xml:space="preserve">- здатність до креативного мислення для формулювання ефективних інвестиційних рішень; </w:t>
      </w:r>
    </w:p>
    <w:p w14:paraId="60E5BB2E" w14:textId="77777777" w:rsidR="00BE13CE" w:rsidRPr="00295455" w:rsidRDefault="00BE13CE" w:rsidP="00F7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455">
        <w:rPr>
          <w:rFonts w:ascii="Times New Roman" w:hAnsi="Times New Roman"/>
          <w:sz w:val="24"/>
          <w:szCs w:val="24"/>
        </w:rPr>
        <w:t>- здатність до прийняття ефективних рішень, які мають економіко-математичне обґрунтування;</w:t>
      </w:r>
    </w:p>
    <w:p w14:paraId="684AAB60" w14:textId="77777777" w:rsidR="00BE13CE" w:rsidRPr="00295455" w:rsidRDefault="00BE13CE" w:rsidP="00F7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455">
        <w:rPr>
          <w:rFonts w:ascii="Times New Roman" w:hAnsi="Times New Roman"/>
          <w:sz w:val="24"/>
          <w:szCs w:val="24"/>
        </w:rPr>
        <w:t>- комплексність у володінні інформацією щодо сучасного стану і тенденцій розвитку світових і вітчизняних інвестицій;</w:t>
      </w:r>
    </w:p>
    <w:p w14:paraId="139D6FA6" w14:textId="77777777" w:rsidR="00BE13CE" w:rsidRPr="00295455" w:rsidRDefault="00BE13CE" w:rsidP="00F71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455">
        <w:rPr>
          <w:rFonts w:ascii="Times New Roman" w:hAnsi="Times New Roman"/>
          <w:sz w:val="24"/>
          <w:szCs w:val="24"/>
        </w:rPr>
        <w:t>- комплексність у розробці та реалізації наукових проектів та програм, які мають інвестиційну складову та спрямовані на покращення інвестиційного клімату України.</w:t>
      </w:r>
    </w:p>
    <w:p w14:paraId="19D0EAC1" w14:textId="77777777" w:rsidR="00ED0E4A" w:rsidRPr="00295455" w:rsidRDefault="00ED0E4A" w:rsidP="00F71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5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7ECAB178" w14:textId="77777777" w:rsidR="00ED0E4A" w:rsidRPr="00295455" w:rsidRDefault="00ED0E4A" w:rsidP="00F714FB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bookmarkStart w:id="0" w:name="_Hlk536791170"/>
      <w:r w:rsidRPr="00295455">
        <w:rPr>
          <w:rFonts w:ascii="Times New Roman" w:hAnsi="Times New Roman" w:cs="Times New Roman"/>
          <w:b/>
          <w:bCs/>
          <w:lang w:val="uk-UA"/>
        </w:rPr>
        <w:t xml:space="preserve">Тема 1. </w:t>
      </w:r>
      <w:r w:rsidR="007D18C8" w:rsidRPr="00295455">
        <w:rPr>
          <w:rFonts w:ascii="Times New Roman" w:hAnsi="Times New Roman" w:cs="Times New Roman"/>
          <w:b/>
          <w:bCs/>
        </w:rPr>
        <w:t>Сутність та значення інвестиційної політики</w:t>
      </w:r>
      <w:r w:rsidRPr="00295455">
        <w:rPr>
          <w:rFonts w:ascii="Times New Roman" w:hAnsi="Times New Roman" w:cs="Times New Roman"/>
          <w:b/>
          <w:bCs/>
          <w:lang w:val="uk-UA"/>
        </w:rPr>
        <w:t>.</w:t>
      </w:r>
    </w:p>
    <w:p w14:paraId="4107541C" w14:textId="77777777" w:rsidR="0076303A" w:rsidRPr="00295455" w:rsidRDefault="0076303A" w:rsidP="00F714FB">
      <w:pPr>
        <w:pStyle w:val="NoSpacing"/>
        <w:ind w:firstLine="567"/>
        <w:jc w:val="both"/>
        <w:rPr>
          <w:rFonts w:ascii="Times New Roman" w:hAnsi="Times New Roman" w:cs="Times New Roman"/>
        </w:rPr>
      </w:pPr>
      <w:bookmarkStart w:id="1" w:name="_Hlk536792154"/>
      <w:bookmarkEnd w:id="0"/>
      <w:r w:rsidRPr="00295455">
        <w:rPr>
          <w:rFonts w:ascii="Times New Roman" w:hAnsi="Times New Roman" w:cs="Times New Roman"/>
          <w:lang w:val="uk-UA"/>
        </w:rPr>
        <w:t>Сутність, види та значення інвестицій та інвестиційного менеджменту.</w:t>
      </w:r>
      <w:r w:rsidR="004D6054" w:rsidRPr="00295455">
        <w:rPr>
          <w:rFonts w:ascii="Times New Roman" w:hAnsi="Times New Roman" w:cs="Times New Roman"/>
          <w:lang w:val="uk-UA"/>
        </w:rPr>
        <w:t xml:space="preserve"> </w:t>
      </w:r>
      <w:r w:rsidRPr="00295455">
        <w:rPr>
          <w:rFonts w:ascii="Times New Roman" w:hAnsi="Times New Roman" w:cs="Times New Roman"/>
          <w:lang w:val="uk-UA"/>
        </w:rPr>
        <w:t>Поняття інвестиційного клімату, інвестиційної привабливості.</w:t>
      </w:r>
      <w:r w:rsidR="004D6054" w:rsidRPr="00295455">
        <w:rPr>
          <w:rFonts w:ascii="Times New Roman" w:hAnsi="Times New Roman" w:cs="Times New Roman"/>
          <w:lang w:val="uk-UA"/>
        </w:rPr>
        <w:t xml:space="preserve"> </w:t>
      </w:r>
      <w:r w:rsidRPr="00295455">
        <w:rPr>
          <w:rFonts w:ascii="Times New Roman" w:hAnsi="Times New Roman" w:cs="Times New Roman"/>
          <w:lang w:val="uk-UA"/>
        </w:rPr>
        <w:t>Теоретичне визначення інвестиційної політики.</w:t>
      </w:r>
      <w:r w:rsidR="004D6054" w:rsidRPr="00295455">
        <w:rPr>
          <w:rFonts w:ascii="Times New Roman" w:hAnsi="Times New Roman" w:cs="Times New Roman"/>
          <w:lang w:val="uk-UA"/>
        </w:rPr>
        <w:t xml:space="preserve"> </w:t>
      </w:r>
    </w:p>
    <w:p w14:paraId="51329867" w14:textId="77777777" w:rsidR="00ED0E4A" w:rsidRPr="00295455" w:rsidRDefault="00ED0E4A" w:rsidP="00F714FB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295455">
        <w:rPr>
          <w:rFonts w:ascii="Times New Roman" w:hAnsi="Times New Roman" w:cs="Times New Roman"/>
          <w:b/>
          <w:bCs/>
          <w:lang w:val="uk-UA"/>
        </w:rPr>
        <w:t xml:space="preserve">Тема 2. </w:t>
      </w:r>
      <w:r w:rsidR="0076303A" w:rsidRPr="00295455">
        <w:rPr>
          <w:rFonts w:ascii="Times New Roman" w:hAnsi="Times New Roman" w:cs="Times New Roman"/>
          <w:b/>
          <w:bCs/>
        </w:rPr>
        <w:t>Інвестиційна політика держави: сутність, зміст та правове регулювання</w:t>
      </w:r>
      <w:r w:rsidRPr="00295455">
        <w:rPr>
          <w:rFonts w:ascii="Times New Roman" w:hAnsi="Times New Roman" w:cs="Times New Roman"/>
          <w:b/>
          <w:bCs/>
          <w:lang w:val="uk-UA"/>
        </w:rPr>
        <w:t>.</w:t>
      </w:r>
    </w:p>
    <w:p w14:paraId="1D0D8648" w14:textId="77777777" w:rsidR="004D6054" w:rsidRPr="00295455" w:rsidRDefault="004D6054" w:rsidP="00F714FB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295455">
        <w:rPr>
          <w:rFonts w:ascii="Times New Roman" w:hAnsi="Times New Roman" w:cs="Times New Roman"/>
          <w:lang w:val="uk-UA"/>
        </w:rPr>
        <w:t>Інвестиційна політика підприємства, регіону та держави.</w:t>
      </w:r>
      <w:r w:rsidRPr="00295455">
        <w:rPr>
          <w:rFonts w:ascii="Times New Roman" w:hAnsi="Times New Roman" w:cs="Times New Roman"/>
          <w:lang w:val="uk-UA"/>
        </w:rPr>
        <w:t xml:space="preserve"> </w:t>
      </w:r>
      <w:r w:rsidRPr="00295455">
        <w:rPr>
          <w:rFonts w:ascii="Times New Roman" w:hAnsi="Times New Roman" w:cs="Times New Roman"/>
          <w:lang w:val="uk-UA"/>
        </w:rPr>
        <w:t>Державна інвестиційна політика.</w:t>
      </w:r>
      <w:r w:rsidRPr="00295455">
        <w:rPr>
          <w:rFonts w:ascii="Times New Roman" w:hAnsi="Times New Roman" w:cs="Times New Roman"/>
          <w:lang w:val="uk-UA"/>
        </w:rPr>
        <w:t xml:space="preserve"> </w:t>
      </w:r>
      <w:r w:rsidRPr="00295455">
        <w:rPr>
          <w:rFonts w:ascii="Times New Roman" w:hAnsi="Times New Roman" w:cs="Times New Roman"/>
          <w:lang w:val="uk-UA"/>
        </w:rPr>
        <w:t>Фактори та завдання державної інвестиційної політики.</w:t>
      </w:r>
    </w:p>
    <w:p w14:paraId="2AE529FC" w14:textId="0599BDFF" w:rsidR="004D6054" w:rsidRPr="00295455" w:rsidRDefault="004D6054" w:rsidP="00F714FB">
      <w:pPr>
        <w:pStyle w:val="NoSpacing"/>
        <w:ind w:firstLine="567"/>
        <w:jc w:val="both"/>
        <w:rPr>
          <w:rFonts w:ascii="Times New Roman" w:hAnsi="Times New Roman" w:cs="Times New Roman"/>
          <w:lang w:val="uk-UA"/>
        </w:rPr>
      </w:pPr>
      <w:r w:rsidRPr="00295455">
        <w:rPr>
          <w:rFonts w:ascii="Times New Roman" w:hAnsi="Times New Roman" w:cs="Times New Roman"/>
          <w:lang w:val="uk-UA"/>
        </w:rPr>
        <w:t>Нормативно-правове забезпечення інвестиційної діяльності в Україні та у світі.</w:t>
      </w:r>
      <w:r w:rsidRPr="00295455">
        <w:rPr>
          <w:rFonts w:ascii="Times New Roman" w:hAnsi="Times New Roman" w:cs="Times New Roman"/>
          <w:lang w:val="uk-UA"/>
        </w:rPr>
        <w:t xml:space="preserve"> </w:t>
      </w:r>
      <w:r w:rsidRPr="00295455">
        <w:rPr>
          <w:rFonts w:ascii="Times New Roman" w:hAnsi="Times New Roman" w:cs="Times New Roman"/>
          <w:lang w:val="uk-UA"/>
        </w:rPr>
        <w:t>Сутність та порядок фінансування державних інвестицій.</w:t>
      </w:r>
      <w:r w:rsidRPr="00295455">
        <w:rPr>
          <w:rFonts w:ascii="Times New Roman" w:hAnsi="Times New Roman" w:cs="Times New Roman"/>
          <w:lang w:val="uk-UA"/>
        </w:rPr>
        <w:t xml:space="preserve"> </w:t>
      </w:r>
      <w:r w:rsidRPr="00295455">
        <w:rPr>
          <w:rFonts w:ascii="Times New Roman" w:hAnsi="Times New Roman" w:cs="Times New Roman"/>
          <w:lang w:val="uk-UA"/>
        </w:rPr>
        <w:t>Механізм реалізації державної інвестиційної політики.</w:t>
      </w:r>
    </w:p>
    <w:p w14:paraId="75D24276" w14:textId="77777777" w:rsidR="000A6A10" w:rsidRPr="00295455" w:rsidRDefault="000A6A10" w:rsidP="00F7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>Взаємозв</w:t>
      </w:r>
      <w:r w:rsidRPr="0029545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295455">
        <w:rPr>
          <w:rFonts w:ascii="Times New Roman" w:hAnsi="Times New Roman" w:cs="Times New Roman"/>
          <w:sz w:val="24"/>
          <w:szCs w:val="24"/>
        </w:rPr>
        <w:t>язок державної інвестиційної політики з грошово-кредитною політикою.</w:t>
      </w:r>
    </w:p>
    <w:bookmarkEnd w:id="1"/>
    <w:p w14:paraId="72CB4F79" w14:textId="37DC16DE" w:rsidR="00ED0E4A" w:rsidRPr="00295455" w:rsidRDefault="00ED0E4A" w:rsidP="00F714FB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295455">
        <w:rPr>
          <w:rFonts w:ascii="Times New Roman" w:hAnsi="Times New Roman" w:cs="Times New Roman"/>
          <w:b/>
          <w:bCs/>
          <w:lang w:val="uk-UA"/>
        </w:rPr>
        <w:lastRenderedPageBreak/>
        <w:t xml:space="preserve">Тема 3. </w:t>
      </w:r>
      <w:r w:rsidR="0076303A" w:rsidRPr="00295455">
        <w:rPr>
          <w:rFonts w:ascii="Times New Roman" w:hAnsi="Times New Roman" w:cs="Times New Roman"/>
          <w:b/>
          <w:bCs/>
        </w:rPr>
        <w:t>Інвестиційна політика розвинених держав світу та країн, що розвиваються</w:t>
      </w:r>
      <w:r w:rsidRPr="00295455">
        <w:rPr>
          <w:rFonts w:ascii="Times New Roman" w:hAnsi="Times New Roman" w:cs="Times New Roman"/>
          <w:b/>
          <w:bCs/>
          <w:lang w:val="uk-UA"/>
        </w:rPr>
        <w:t>.</w:t>
      </w:r>
    </w:p>
    <w:p w14:paraId="210007E3" w14:textId="4AA1FB58" w:rsidR="00611CBF" w:rsidRPr="00295455" w:rsidRDefault="00611CBF" w:rsidP="00F7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>Моделі інвестиційної політики розвинених країн.</w:t>
      </w:r>
      <w:r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Методи регулювання інвестиційної політики країн Європи.</w:t>
      </w:r>
      <w:r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Інвестиційна політика Нових індустріальних країн.</w:t>
      </w:r>
    </w:p>
    <w:p w14:paraId="3D6899FD" w14:textId="77777777" w:rsidR="00ED0E4A" w:rsidRPr="00295455" w:rsidRDefault="00ED0E4A" w:rsidP="00F714FB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bookmarkStart w:id="2" w:name="_Hlk536792472"/>
      <w:r w:rsidRPr="00295455">
        <w:rPr>
          <w:rFonts w:ascii="Times New Roman" w:hAnsi="Times New Roman" w:cs="Times New Roman"/>
          <w:b/>
          <w:bCs/>
          <w:lang w:val="uk-UA"/>
        </w:rPr>
        <w:t xml:space="preserve">Тема 4. </w:t>
      </w:r>
      <w:r w:rsidR="0076303A" w:rsidRPr="00295455">
        <w:rPr>
          <w:rFonts w:ascii="Times New Roman" w:hAnsi="Times New Roman" w:cs="Times New Roman"/>
          <w:b/>
          <w:bCs/>
          <w:spacing w:val="-1"/>
        </w:rPr>
        <w:t>Регіональна інвестиційна політика</w:t>
      </w:r>
      <w:r w:rsidRPr="00295455">
        <w:rPr>
          <w:rFonts w:ascii="Times New Roman" w:hAnsi="Times New Roman" w:cs="Times New Roman"/>
          <w:b/>
          <w:bCs/>
          <w:lang w:val="uk-UA"/>
        </w:rPr>
        <w:t>.</w:t>
      </w:r>
    </w:p>
    <w:p w14:paraId="70E851DA" w14:textId="44F06258" w:rsidR="00ED0E4A" w:rsidRPr="00295455" w:rsidRDefault="00E21DF2" w:rsidP="00F714FB">
      <w:pPr>
        <w:pStyle w:val="NoSpacing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Інвестиційна політика регіонів: сутність, правила формування та напрямки реалізації. Диференціація регіональної інвестиційної привабливо</w:t>
      </w:r>
      <w:bookmarkStart w:id="3" w:name="_GoBack"/>
      <w:bookmarkEnd w:id="3"/>
      <w:r>
        <w:rPr>
          <w:rFonts w:ascii="Times New Roman" w:hAnsi="Times New Roman" w:cs="Times New Roman"/>
          <w:lang w:val="uk-UA"/>
        </w:rPr>
        <w:t>сті України.</w:t>
      </w:r>
    </w:p>
    <w:p w14:paraId="1B991B53" w14:textId="77777777" w:rsidR="00ED0E4A" w:rsidRPr="00295455" w:rsidRDefault="00ED0E4A" w:rsidP="00F714FB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bookmarkStart w:id="4" w:name="_Hlk536798151"/>
      <w:bookmarkEnd w:id="2"/>
      <w:r w:rsidRPr="00295455">
        <w:rPr>
          <w:rFonts w:ascii="Times New Roman" w:hAnsi="Times New Roman" w:cs="Times New Roman"/>
          <w:b/>
          <w:bCs/>
          <w:lang w:val="uk-UA"/>
        </w:rPr>
        <w:t xml:space="preserve">Тема 5. </w:t>
      </w:r>
      <w:r w:rsidR="0076303A" w:rsidRPr="00295455">
        <w:rPr>
          <w:rFonts w:ascii="Times New Roman" w:hAnsi="Times New Roman" w:cs="Times New Roman"/>
          <w:b/>
          <w:bCs/>
          <w:spacing w:val="-1"/>
        </w:rPr>
        <w:t>Інвестиційна політика підприємства</w:t>
      </w:r>
      <w:r w:rsidRPr="00295455">
        <w:rPr>
          <w:rFonts w:ascii="Times New Roman" w:hAnsi="Times New Roman" w:cs="Times New Roman"/>
          <w:b/>
          <w:bCs/>
          <w:lang w:val="uk-UA"/>
        </w:rPr>
        <w:t>.</w:t>
      </w:r>
    </w:p>
    <w:p w14:paraId="5E86E3B8" w14:textId="25AE9683" w:rsidR="00611CBF" w:rsidRPr="00295455" w:rsidRDefault="000A6A10" w:rsidP="00F7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6792610"/>
      <w:bookmarkEnd w:id="4"/>
      <w:r w:rsidRPr="00295455">
        <w:rPr>
          <w:rFonts w:ascii="Times New Roman" w:hAnsi="Times New Roman" w:cs="Times New Roman"/>
          <w:sz w:val="24"/>
          <w:szCs w:val="24"/>
        </w:rPr>
        <w:t>Сутність та етапи формування інвестиційної програми.</w:t>
      </w:r>
      <w:r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Напрями інвестування: види, чинники вибору.</w:t>
      </w:r>
      <w:r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="00611CBF" w:rsidRPr="00295455">
        <w:rPr>
          <w:rFonts w:ascii="Times New Roman" w:hAnsi="Times New Roman" w:cs="Times New Roman"/>
          <w:sz w:val="24"/>
          <w:szCs w:val="24"/>
        </w:rPr>
        <w:t>Формулювання цілей та розробка інвестиційної стратегії підприємства.</w:t>
      </w:r>
      <w:r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="00611CBF" w:rsidRPr="00295455">
        <w:rPr>
          <w:rFonts w:ascii="Times New Roman" w:hAnsi="Times New Roman" w:cs="Times New Roman"/>
          <w:sz w:val="24"/>
          <w:szCs w:val="24"/>
        </w:rPr>
        <w:t>Формування програми інвестиційної політики підприємства та визначення етапів її реалізації.</w:t>
      </w:r>
      <w:r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="00611CBF" w:rsidRPr="00295455">
        <w:rPr>
          <w:rFonts w:ascii="Times New Roman" w:hAnsi="Times New Roman" w:cs="Times New Roman"/>
          <w:sz w:val="24"/>
          <w:szCs w:val="24"/>
        </w:rPr>
        <w:t>Управління командою при реалізації інвестиційної політики  на підприємстві.</w:t>
      </w:r>
    </w:p>
    <w:p w14:paraId="06E5E471" w14:textId="77777777" w:rsidR="00ED0E4A" w:rsidRPr="00295455" w:rsidRDefault="00ED0E4A" w:rsidP="00F714FB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295455">
        <w:rPr>
          <w:rFonts w:ascii="Times New Roman" w:hAnsi="Times New Roman" w:cs="Times New Roman"/>
          <w:b/>
          <w:bCs/>
          <w:lang w:val="uk-UA"/>
        </w:rPr>
        <w:t xml:space="preserve">Тема 6. </w:t>
      </w:r>
      <w:r w:rsidR="0076303A" w:rsidRPr="00295455">
        <w:rPr>
          <w:rFonts w:ascii="Times New Roman" w:hAnsi="Times New Roman" w:cs="Times New Roman"/>
          <w:b/>
          <w:bCs/>
          <w:spacing w:val="-2"/>
        </w:rPr>
        <w:t>Інвестиційна привабливість держави, регіону, підприємства</w:t>
      </w:r>
      <w:r w:rsidRPr="00295455">
        <w:rPr>
          <w:rFonts w:ascii="Times New Roman" w:hAnsi="Times New Roman" w:cs="Times New Roman"/>
          <w:b/>
          <w:bCs/>
          <w:lang w:val="uk-UA"/>
        </w:rPr>
        <w:t>.</w:t>
      </w:r>
    </w:p>
    <w:p w14:paraId="3E85A83A" w14:textId="2B881EF3" w:rsidR="000A6A10" w:rsidRPr="00295455" w:rsidRDefault="000A6A10" w:rsidP="00F7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>Визначення інвестиційного потенціалу держави, регіону, підприємства.</w:t>
      </w:r>
      <w:r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Методи визначення інвестиційної привабливості підприємства.</w:t>
      </w:r>
    </w:p>
    <w:p w14:paraId="19FBB3C5" w14:textId="4F880A78" w:rsidR="00ED0E4A" w:rsidRPr="00295455" w:rsidRDefault="00ED0E4A" w:rsidP="00F714FB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pacing w:val="-2"/>
        </w:rPr>
      </w:pPr>
      <w:bookmarkStart w:id="6" w:name="_Hlk536793799"/>
      <w:bookmarkEnd w:id="5"/>
      <w:r w:rsidRPr="00295455">
        <w:rPr>
          <w:rFonts w:ascii="Times New Roman" w:hAnsi="Times New Roman" w:cs="Times New Roman"/>
          <w:b/>
          <w:bCs/>
          <w:lang w:val="uk-UA"/>
        </w:rPr>
        <w:t xml:space="preserve">Тема 7. </w:t>
      </w:r>
      <w:r w:rsidR="0076303A" w:rsidRPr="00295455">
        <w:rPr>
          <w:rFonts w:ascii="Times New Roman" w:hAnsi="Times New Roman" w:cs="Times New Roman"/>
          <w:b/>
          <w:bCs/>
          <w:spacing w:val="-2"/>
        </w:rPr>
        <w:t>Методи оцінки вартості компанії</w:t>
      </w:r>
      <w:r w:rsidR="0076303A" w:rsidRPr="00295455">
        <w:rPr>
          <w:rFonts w:ascii="Times New Roman" w:hAnsi="Times New Roman" w:cs="Times New Roman"/>
          <w:b/>
          <w:bCs/>
          <w:spacing w:val="-2"/>
        </w:rPr>
        <w:t>.</w:t>
      </w:r>
    </w:p>
    <w:p w14:paraId="1953D05A" w14:textId="1CEF191F" w:rsidR="00611CBF" w:rsidRPr="00295455" w:rsidRDefault="00611CBF" w:rsidP="00F7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>Особливості методів оцінки вартості бізнесу.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Доходний метод оцінки вартості бізнесу.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 капіталізації доходів.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 дисконтування грошових потоків.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Витратний метод оцінки вартості бізнесу.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 вартості чистих активів.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 ліквідаційної вартості.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 скоригованої балансової вартості.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Порівняльний метод оцінки вартості бізнесу.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 ринку капіталу (метод мультиплікаторів). Метод угод.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 галузевих коефіцієнтів.</w:t>
      </w:r>
    </w:p>
    <w:p w14:paraId="078D160C" w14:textId="77777777" w:rsidR="00ED0E4A" w:rsidRPr="00295455" w:rsidRDefault="00ED0E4A" w:rsidP="00F714FB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bookmarkStart w:id="7" w:name="_Hlk536797755"/>
      <w:bookmarkEnd w:id="6"/>
      <w:r w:rsidRPr="00295455">
        <w:rPr>
          <w:rFonts w:ascii="Times New Roman" w:hAnsi="Times New Roman" w:cs="Times New Roman"/>
          <w:b/>
          <w:bCs/>
          <w:lang w:val="uk-UA"/>
        </w:rPr>
        <w:t xml:space="preserve">Тема 8. </w:t>
      </w:r>
      <w:r w:rsidR="0076303A" w:rsidRPr="00295455">
        <w:rPr>
          <w:rFonts w:ascii="Times New Roman" w:hAnsi="Times New Roman" w:cs="Times New Roman"/>
          <w:b/>
          <w:bCs/>
        </w:rPr>
        <w:t>Структура інвестиційного проекту та способи оцінки його ефективності</w:t>
      </w:r>
      <w:r w:rsidRPr="00295455">
        <w:rPr>
          <w:rFonts w:ascii="Times New Roman" w:hAnsi="Times New Roman" w:cs="Times New Roman"/>
          <w:b/>
          <w:bCs/>
          <w:lang w:val="uk-UA"/>
        </w:rPr>
        <w:t>.</w:t>
      </w:r>
    </w:p>
    <w:p w14:paraId="669DFD31" w14:textId="31814E63" w:rsidR="00611CBF" w:rsidRPr="00295455" w:rsidRDefault="00611CBF" w:rsidP="00F7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>Сутність та складові інвестиційного проекту.</w:t>
      </w:r>
      <w:r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Основні показники ефективності інвестиційного проекту.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 розрахунку чистого приведеного доходу (</w:t>
      </w:r>
      <w:r w:rsidRPr="00295455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295455">
        <w:rPr>
          <w:rFonts w:ascii="Times New Roman" w:hAnsi="Times New Roman" w:cs="Times New Roman"/>
          <w:sz w:val="24"/>
          <w:szCs w:val="24"/>
        </w:rPr>
        <w:t>).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 визначення індексу рентабельності інвестицій</w:t>
      </w:r>
      <w:r w:rsidRPr="00295455">
        <w:rPr>
          <w:rFonts w:ascii="Times New Roman" w:hAnsi="Times New Roman" w:cs="Times New Roman"/>
          <w:sz w:val="24"/>
          <w:szCs w:val="24"/>
          <w:lang w:val="en-US"/>
        </w:rPr>
        <w:t xml:space="preserve"> (PI).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 xml:space="preserve">Метод визначення внутрішньої норми прибутковості інвестицій </w:t>
      </w:r>
      <w:r w:rsidRPr="00295455">
        <w:rPr>
          <w:rFonts w:ascii="Times New Roman" w:hAnsi="Times New Roman" w:cs="Times New Roman"/>
          <w:sz w:val="24"/>
          <w:szCs w:val="24"/>
          <w:lang w:val="en-US"/>
        </w:rPr>
        <w:t xml:space="preserve"> (IRR).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Дисконтований термін окупності</w:t>
      </w:r>
      <w:r w:rsidRPr="002954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95455">
        <w:rPr>
          <w:rFonts w:ascii="Times New Roman" w:hAnsi="Times New Roman" w:cs="Times New Roman"/>
          <w:sz w:val="24"/>
          <w:szCs w:val="24"/>
        </w:rPr>
        <w:t>Ррд</w:t>
      </w:r>
      <w:r w:rsidRPr="0029545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95455">
        <w:rPr>
          <w:rFonts w:ascii="Times New Roman" w:hAnsi="Times New Roman" w:cs="Times New Roman"/>
          <w:sz w:val="24"/>
          <w:szCs w:val="24"/>
        </w:rPr>
        <w:t>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 xml:space="preserve">Метод визначення терміну окупності інвестицій </w:t>
      </w:r>
      <w:r w:rsidRPr="00295455">
        <w:rPr>
          <w:rFonts w:ascii="Times New Roman" w:hAnsi="Times New Roman" w:cs="Times New Roman"/>
          <w:sz w:val="24"/>
          <w:szCs w:val="24"/>
          <w:lang w:val="en-US"/>
        </w:rPr>
        <w:t>(PP).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Метод визначення середньої норми прибутку на інвестиції</w:t>
      </w:r>
      <w:r w:rsidRPr="00295455">
        <w:rPr>
          <w:rFonts w:ascii="Times New Roman" w:hAnsi="Times New Roman" w:cs="Times New Roman"/>
          <w:sz w:val="24"/>
          <w:szCs w:val="24"/>
          <w:lang w:val="en-US"/>
        </w:rPr>
        <w:t xml:space="preserve"> (ARR).</w:t>
      </w:r>
      <w:r w:rsidR="000A6A10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Показники рентабельності при визначенні ефективності інвестиційної політика.</w:t>
      </w:r>
    </w:p>
    <w:bookmarkEnd w:id="7"/>
    <w:p w14:paraId="17A58889" w14:textId="77777777" w:rsidR="00ED0E4A" w:rsidRPr="00295455" w:rsidRDefault="00ED0E4A" w:rsidP="00F714FB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295455">
        <w:rPr>
          <w:rFonts w:ascii="Times New Roman" w:hAnsi="Times New Roman" w:cs="Times New Roman"/>
          <w:b/>
          <w:bCs/>
          <w:lang w:val="uk-UA"/>
        </w:rPr>
        <w:t xml:space="preserve">Тема 9. </w:t>
      </w:r>
      <w:r w:rsidR="0076303A" w:rsidRPr="00295455">
        <w:rPr>
          <w:rFonts w:ascii="Times New Roman" w:hAnsi="Times New Roman" w:cs="Times New Roman"/>
          <w:b/>
          <w:bCs/>
        </w:rPr>
        <w:t>Портфельне інвестування: зміст, принципи та напрямки</w:t>
      </w:r>
      <w:r w:rsidRPr="00295455">
        <w:rPr>
          <w:rFonts w:ascii="Times New Roman" w:hAnsi="Times New Roman" w:cs="Times New Roman"/>
          <w:b/>
          <w:bCs/>
          <w:lang w:val="uk-UA"/>
        </w:rPr>
        <w:t>.</w:t>
      </w:r>
    </w:p>
    <w:p w14:paraId="71185F9C" w14:textId="62ADA346" w:rsidR="00611CBF" w:rsidRPr="00295455" w:rsidRDefault="00611CBF" w:rsidP="00F7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>Портфельні інвестиції</w:t>
      </w:r>
      <w:r w:rsidR="00295455" w:rsidRPr="00295455">
        <w:rPr>
          <w:rFonts w:ascii="Times New Roman" w:hAnsi="Times New Roman" w:cs="Times New Roman"/>
          <w:sz w:val="24"/>
          <w:szCs w:val="24"/>
        </w:rPr>
        <w:t xml:space="preserve">. </w:t>
      </w:r>
      <w:r w:rsidRPr="00295455">
        <w:rPr>
          <w:rFonts w:ascii="Times New Roman" w:hAnsi="Times New Roman" w:cs="Times New Roman"/>
          <w:sz w:val="24"/>
          <w:szCs w:val="24"/>
        </w:rPr>
        <w:t xml:space="preserve">Сутність та значення портфельних інвестицій. </w:t>
      </w:r>
      <w:r w:rsidR="00295455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Світові фондові біржі та їхня значимість для розвитку світової економіки.</w:t>
      </w:r>
      <w:r w:rsidR="00295455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Pr="00295455">
        <w:rPr>
          <w:rFonts w:ascii="Times New Roman" w:hAnsi="Times New Roman" w:cs="Times New Roman"/>
          <w:sz w:val="24"/>
          <w:szCs w:val="24"/>
        </w:rPr>
        <w:t>Політика портфельних інвестицій.</w:t>
      </w:r>
      <w:r w:rsidR="00295455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="00295455" w:rsidRPr="00295455">
        <w:rPr>
          <w:rFonts w:ascii="Times New Roman" w:hAnsi="Times New Roman" w:cs="Times New Roman"/>
          <w:sz w:val="24"/>
          <w:szCs w:val="24"/>
        </w:rPr>
        <w:t xml:space="preserve">Ринок портфельних інвестицій в Україні. </w:t>
      </w:r>
      <w:r w:rsidRPr="00295455">
        <w:rPr>
          <w:rFonts w:ascii="Times New Roman" w:hAnsi="Times New Roman" w:cs="Times New Roman"/>
          <w:sz w:val="24"/>
          <w:szCs w:val="24"/>
        </w:rPr>
        <w:t>Проблеми розвитку фондового ринку України.</w:t>
      </w:r>
    </w:p>
    <w:p w14:paraId="27B146DD" w14:textId="77777777" w:rsidR="00ED0E4A" w:rsidRPr="00295455" w:rsidRDefault="00ED0E4A" w:rsidP="00F714FB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295455">
        <w:rPr>
          <w:rFonts w:ascii="Times New Roman" w:hAnsi="Times New Roman" w:cs="Times New Roman"/>
          <w:b/>
          <w:bCs/>
          <w:lang w:val="uk-UA"/>
        </w:rPr>
        <w:t xml:space="preserve">Тема 10. </w:t>
      </w:r>
      <w:r w:rsidR="0076303A" w:rsidRPr="00295455">
        <w:rPr>
          <w:rFonts w:ascii="Times New Roman" w:hAnsi="Times New Roman" w:cs="Times New Roman"/>
          <w:b/>
          <w:bCs/>
        </w:rPr>
        <w:t>Інвестиційний ринок України та напрямки розвитку інвестиційної політики</w:t>
      </w:r>
      <w:r w:rsidRPr="00295455">
        <w:rPr>
          <w:rFonts w:ascii="Times New Roman" w:hAnsi="Times New Roman" w:cs="Times New Roman"/>
          <w:b/>
          <w:bCs/>
          <w:lang w:val="uk-UA"/>
        </w:rPr>
        <w:t>.</w:t>
      </w:r>
    </w:p>
    <w:p w14:paraId="73AB4FCF" w14:textId="50C4FEA2" w:rsidR="00611CBF" w:rsidRPr="00295455" w:rsidRDefault="000A6A10" w:rsidP="00F7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>Структура інвестиційного ринку України та світу.</w:t>
      </w:r>
      <w:r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="00423282" w:rsidRPr="00295455">
        <w:rPr>
          <w:rFonts w:ascii="Times New Roman" w:hAnsi="Times New Roman" w:cs="Times New Roman"/>
          <w:sz w:val="24"/>
          <w:szCs w:val="24"/>
        </w:rPr>
        <w:t>Основні проблеми інвестиційної політики України.</w:t>
      </w:r>
      <w:r w:rsidR="00611CBF" w:rsidRPr="00295455">
        <w:rPr>
          <w:rFonts w:ascii="Times New Roman" w:hAnsi="Times New Roman" w:cs="Times New Roman"/>
          <w:sz w:val="24"/>
          <w:szCs w:val="24"/>
        </w:rPr>
        <w:t xml:space="preserve"> </w:t>
      </w:r>
      <w:r w:rsidR="00611CBF" w:rsidRPr="00295455">
        <w:rPr>
          <w:rFonts w:ascii="Times New Roman" w:hAnsi="Times New Roman" w:cs="Times New Roman"/>
          <w:sz w:val="24"/>
          <w:szCs w:val="24"/>
        </w:rPr>
        <w:t>Шляхи покращення інвестиційного клімату вітчизняних підприємств та України взагалі.</w:t>
      </w:r>
    </w:p>
    <w:p w14:paraId="1F14B6C8" w14:textId="77777777" w:rsidR="00ED0E4A" w:rsidRPr="00295455" w:rsidRDefault="00ED0E4A" w:rsidP="00F71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5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78B4CDA7" w14:textId="77777777" w:rsidR="00ED0E4A" w:rsidRPr="00295455" w:rsidRDefault="00ED0E4A" w:rsidP="00F714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CE1584" w:rsidRPr="00295455">
        <w:rPr>
          <w:rFonts w:ascii="Times New Roman" w:hAnsi="Times New Roman" w:cs="Times New Roman"/>
          <w:sz w:val="24"/>
          <w:szCs w:val="24"/>
        </w:rPr>
        <w:t>Теоретичні аспекти інвестиційної політики</w:t>
      </w:r>
      <w:r w:rsidRPr="00295455">
        <w:rPr>
          <w:rFonts w:ascii="Times New Roman" w:hAnsi="Times New Roman" w:cs="Times New Roman"/>
          <w:sz w:val="24"/>
          <w:szCs w:val="24"/>
        </w:rPr>
        <w:t>.</w:t>
      </w:r>
    </w:p>
    <w:p w14:paraId="4B4265F2" w14:textId="77777777" w:rsidR="00ED0E4A" w:rsidRPr="00295455" w:rsidRDefault="00ED0E4A" w:rsidP="00F714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CE1584" w:rsidRPr="00295455">
        <w:rPr>
          <w:rFonts w:ascii="Times New Roman" w:hAnsi="Times New Roman" w:cs="Times New Roman"/>
          <w:sz w:val="24"/>
          <w:szCs w:val="24"/>
        </w:rPr>
        <w:t>Нормативно-правове регулювання інвестиційної політики держави</w:t>
      </w:r>
      <w:r w:rsidRPr="00295455">
        <w:rPr>
          <w:rFonts w:ascii="Times New Roman" w:hAnsi="Times New Roman" w:cs="Times New Roman"/>
          <w:sz w:val="24"/>
          <w:szCs w:val="24"/>
        </w:rPr>
        <w:t>.</w:t>
      </w:r>
    </w:p>
    <w:p w14:paraId="4D4DCC81" w14:textId="77777777" w:rsidR="00ED0E4A" w:rsidRPr="00295455" w:rsidRDefault="00ED0E4A" w:rsidP="00F714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CE1584" w:rsidRPr="00295455">
        <w:rPr>
          <w:rFonts w:ascii="Times New Roman" w:hAnsi="Times New Roman" w:cs="Times New Roman"/>
          <w:sz w:val="24"/>
          <w:szCs w:val="24"/>
        </w:rPr>
        <w:t>Інвестиційна політика розвинених держав світу та країн, що розвиваються</w:t>
      </w:r>
      <w:r w:rsidRPr="00295455">
        <w:rPr>
          <w:rFonts w:ascii="Times New Roman" w:hAnsi="Times New Roman" w:cs="Times New Roman"/>
          <w:sz w:val="24"/>
          <w:szCs w:val="24"/>
        </w:rPr>
        <w:t>.</w:t>
      </w:r>
    </w:p>
    <w:p w14:paraId="3CAB57AA" w14:textId="77777777" w:rsidR="00ED0E4A" w:rsidRPr="00295455" w:rsidRDefault="00ED0E4A" w:rsidP="00F714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CE1584" w:rsidRPr="00295455">
        <w:rPr>
          <w:rFonts w:ascii="Times New Roman" w:hAnsi="Times New Roman" w:cs="Times New Roman"/>
          <w:sz w:val="24"/>
          <w:szCs w:val="24"/>
        </w:rPr>
        <w:t>Регіональна інвестиційна політика</w:t>
      </w:r>
      <w:r w:rsidRPr="00295455">
        <w:rPr>
          <w:rFonts w:ascii="Times New Roman" w:hAnsi="Times New Roman" w:cs="Times New Roman"/>
          <w:sz w:val="24"/>
          <w:szCs w:val="24"/>
        </w:rPr>
        <w:t>.</w:t>
      </w:r>
    </w:p>
    <w:p w14:paraId="144EF6B1" w14:textId="77777777" w:rsidR="00ED0E4A" w:rsidRPr="00295455" w:rsidRDefault="00ED0E4A" w:rsidP="00F714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CE1584" w:rsidRPr="00295455">
        <w:rPr>
          <w:rFonts w:ascii="Times New Roman" w:hAnsi="Times New Roman" w:cs="Times New Roman"/>
          <w:sz w:val="24"/>
          <w:szCs w:val="24"/>
        </w:rPr>
        <w:t>Інвестиційна політика підприємств</w:t>
      </w:r>
      <w:r w:rsidRPr="00295455">
        <w:rPr>
          <w:rFonts w:ascii="Times New Roman" w:hAnsi="Times New Roman" w:cs="Times New Roman"/>
          <w:sz w:val="24"/>
          <w:szCs w:val="24"/>
        </w:rPr>
        <w:t>.</w:t>
      </w:r>
    </w:p>
    <w:p w14:paraId="345AA74A" w14:textId="77777777" w:rsidR="00ED0E4A" w:rsidRPr="00295455" w:rsidRDefault="00ED0E4A" w:rsidP="00F714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CE1584" w:rsidRPr="00295455">
        <w:rPr>
          <w:rFonts w:ascii="Times New Roman" w:hAnsi="Times New Roman" w:cs="Times New Roman"/>
          <w:spacing w:val="-2"/>
          <w:sz w:val="24"/>
          <w:szCs w:val="24"/>
        </w:rPr>
        <w:t>Інвестиційна привабливість держави, регіону, підприємства</w:t>
      </w:r>
      <w:r w:rsidRPr="00295455">
        <w:rPr>
          <w:rFonts w:ascii="Times New Roman" w:hAnsi="Times New Roman" w:cs="Times New Roman"/>
          <w:sz w:val="24"/>
          <w:szCs w:val="24"/>
        </w:rPr>
        <w:t>.</w:t>
      </w:r>
    </w:p>
    <w:p w14:paraId="14D08433" w14:textId="77777777" w:rsidR="00ED0E4A" w:rsidRPr="00295455" w:rsidRDefault="00ED0E4A" w:rsidP="00F714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Тема 7. </w:t>
      </w:r>
      <w:r w:rsidR="00CE1584" w:rsidRPr="00295455">
        <w:rPr>
          <w:rFonts w:ascii="Times New Roman" w:hAnsi="Times New Roman" w:cs="Times New Roman"/>
          <w:sz w:val="24"/>
          <w:szCs w:val="24"/>
        </w:rPr>
        <w:t>Методи оцінки вартості компанії</w:t>
      </w:r>
      <w:r w:rsidR="00CE1584" w:rsidRPr="002954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6C427D" w14:textId="77777777" w:rsidR="00ED0E4A" w:rsidRPr="00295455" w:rsidRDefault="00ED0E4A" w:rsidP="00F714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CE1584" w:rsidRPr="00295455">
        <w:rPr>
          <w:rFonts w:ascii="Times New Roman" w:hAnsi="Times New Roman" w:cs="Times New Roman"/>
          <w:sz w:val="24"/>
          <w:szCs w:val="24"/>
        </w:rPr>
        <w:t>Структура інвестиційного проекту та способи оцінки його ефективності</w:t>
      </w:r>
      <w:r w:rsidRPr="00295455">
        <w:rPr>
          <w:rFonts w:ascii="Times New Roman" w:hAnsi="Times New Roman" w:cs="Times New Roman"/>
          <w:sz w:val="24"/>
          <w:szCs w:val="24"/>
        </w:rPr>
        <w:t>.</w:t>
      </w:r>
    </w:p>
    <w:p w14:paraId="3A3F8476" w14:textId="77777777" w:rsidR="00ED0E4A" w:rsidRPr="00295455" w:rsidRDefault="00ED0E4A" w:rsidP="00F714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Тема 9. </w:t>
      </w:r>
      <w:r w:rsidR="00CE1584" w:rsidRPr="00295455">
        <w:rPr>
          <w:rFonts w:ascii="Times New Roman" w:hAnsi="Times New Roman" w:cs="Times New Roman"/>
          <w:sz w:val="24"/>
          <w:szCs w:val="24"/>
        </w:rPr>
        <w:t>Портфельне інвестування: зміст, принципи та напрямки</w:t>
      </w:r>
      <w:r w:rsidRPr="00295455">
        <w:rPr>
          <w:rFonts w:ascii="Times New Roman" w:hAnsi="Times New Roman" w:cs="Times New Roman"/>
          <w:sz w:val="24"/>
          <w:szCs w:val="24"/>
        </w:rPr>
        <w:t>.</w:t>
      </w:r>
    </w:p>
    <w:p w14:paraId="0ABDB6E8" w14:textId="63074906" w:rsidR="00C55213" w:rsidRPr="00F714FB" w:rsidRDefault="00ED0E4A" w:rsidP="00F714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455">
        <w:rPr>
          <w:rFonts w:ascii="Times New Roman" w:hAnsi="Times New Roman" w:cs="Times New Roman"/>
          <w:sz w:val="24"/>
          <w:szCs w:val="24"/>
        </w:rPr>
        <w:t xml:space="preserve">Тема 10. </w:t>
      </w:r>
      <w:r w:rsidR="00CE1584" w:rsidRPr="00295455">
        <w:rPr>
          <w:rFonts w:ascii="Times New Roman" w:hAnsi="Times New Roman" w:cs="Times New Roman"/>
          <w:sz w:val="24"/>
          <w:szCs w:val="24"/>
        </w:rPr>
        <w:t>Інвестиційний ринок України та напрямки розвитку інвестиційної політики</w:t>
      </w:r>
      <w:r w:rsidRPr="00295455">
        <w:rPr>
          <w:rFonts w:ascii="Times New Roman" w:hAnsi="Times New Roman" w:cs="Times New Roman"/>
          <w:sz w:val="24"/>
          <w:szCs w:val="24"/>
        </w:rPr>
        <w:t>.</w:t>
      </w:r>
    </w:p>
    <w:sectPr w:rsidR="00C55213" w:rsidRPr="00F714FB" w:rsidSect="00536A9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8CFD" w14:textId="77777777" w:rsidR="00C441BA" w:rsidRDefault="00C441BA" w:rsidP="00944B6A">
      <w:pPr>
        <w:spacing w:after="0" w:line="240" w:lineRule="auto"/>
      </w:pPr>
      <w:r>
        <w:separator/>
      </w:r>
    </w:p>
  </w:endnote>
  <w:endnote w:type="continuationSeparator" w:id="0">
    <w:p w14:paraId="50D5E44E" w14:textId="77777777" w:rsidR="00C441BA" w:rsidRDefault="00C441BA" w:rsidP="0094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16970"/>
      <w:docPartObj>
        <w:docPartGallery w:val="Page Numbers (Bottom of Page)"/>
        <w:docPartUnique/>
      </w:docPartObj>
    </w:sdtPr>
    <w:sdtEndPr/>
    <w:sdtContent>
      <w:p w14:paraId="295D0BF5" w14:textId="77777777" w:rsidR="00F02ACF" w:rsidRDefault="00A358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B3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1A088CC" w14:textId="77777777" w:rsidR="00F02ACF" w:rsidRDefault="00F02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A49E" w14:textId="77777777" w:rsidR="00C441BA" w:rsidRDefault="00C441BA" w:rsidP="00944B6A">
      <w:pPr>
        <w:spacing w:after="0" w:line="240" w:lineRule="auto"/>
      </w:pPr>
      <w:r>
        <w:separator/>
      </w:r>
    </w:p>
  </w:footnote>
  <w:footnote w:type="continuationSeparator" w:id="0">
    <w:p w14:paraId="68F2EE45" w14:textId="77777777" w:rsidR="00C441BA" w:rsidRDefault="00C441BA" w:rsidP="0094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A711" w14:textId="77777777" w:rsidR="00F02ACF" w:rsidRDefault="00F02ACF">
    <w:pPr>
      <w:pStyle w:val="Header"/>
      <w:jc w:val="right"/>
    </w:pPr>
  </w:p>
  <w:p w14:paraId="5B862219" w14:textId="77777777" w:rsidR="00F02ACF" w:rsidRDefault="00F02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34496E"/>
    <w:lvl w:ilvl="0">
      <w:numFmt w:val="bullet"/>
      <w:lvlText w:val="*"/>
      <w:lvlJc w:val="left"/>
    </w:lvl>
  </w:abstractNum>
  <w:abstractNum w:abstractNumId="1" w15:restartNumberingAfterBreak="0">
    <w:nsid w:val="033662BE"/>
    <w:multiLevelType w:val="hybridMultilevel"/>
    <w:tmpl w:val="6A8C0F54"/>
    <w:lvl w:ilvl="0" w:tplc="4D1A570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7AB"/>
    <w:multiLevelType w:val="hybridMultilevel"/>
    <w:tmpl w:val="F21820EC"/>
    <w:lvl w:ilvl="0" w:tplc="B85663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703E20"/>
    <w:multiLevelType w:val="hybridMultilevel"/>
    <w:tmpl w:val="3FB8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603C"/>
    <w:multiLevelType w:val="hybridMultilevel"/>
    <w:tmpl w:val="38AEE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7A4BAF"/>
    <w:multiLevelType w:val="hybridMultilevel"/>
    <w:tmpl w:val="780603A6"/>
    <w:lvl w:ilvl="0" w:tplc="55A2C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502962"/>
    <w:multiLevelType w:val="hybridMultilevel"/>
    <w:tmpl w:val="C2BAEC38"/>
    <w:lvl w:ilvl="0" w:tplc="3EFCCA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D1237"/>
    <w:multiLevelType w:val="hybridMultilevel"/>
    <w:tmpl w:val="7D8847E4"/>
    <w:lvl w:ilvl="0" w:tplc="69185E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9063E"/>
    <w:multiLevelType w:val="hybridMultilevel"/>
    <w:tmpl w:val="33021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D81367"/>
    <w:multiLevelType w:val="multilevel"/>
    <w:tmpl w:val="1A1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27E64"/>
    <w:multiLevelType w:val="hybridMultilevel"/>
    <w:tmpl w:val="21F6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A112C"/>
    <w:multiLevelType w:val="hybridMultilevel"/>
    <w:tmpl w:val="46021DEE"/>
    <w:lvl w:ilvl="0" w:tplc="DAC66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3257D"/>
    <w:multiLevelType w:val="hybridMultilevel"/>
    <w:tmpl w:val="BA06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14FA8"/>
    <w:multiLevelType w:val="hybridMultilevel"/>
    <w:tmpl w:val="4D342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477063"/>
    <w:multiLevelType w:val="hybridMultilevel"/>
    <w:tmpl w:val="CD1A181E"/>
    <w:lvl w:ilvl="0" w:tplc="B560C6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C675AEF"/>
    <w:multiLevelType w:val="hybridMultilevel"/>
    <w:tmpl w:val="9F76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5455D"/>
    <w:multiLevelType w:val="singleLevel"/>
    <w:tmpl w:val="9AFAE0E4"/>
    <w:lvl w:ilvl="0">
      <w:start w:val="1"/>
      <w:numFmt w:val="decimal"/>
      <w:lvlText w:val="%1."/>
      <w:legacy w:legacy="1" w:legacySpace="0" w:legacyIndent="692"/>
      <w:lvlJc w:val="left"/>
      <w:rPr>
        <w:rFonts w:ascii="Times New Roman" w:eastAsiaTheme="minorHAnsi" w:hAnsi="Times New Roman" w:cs="Times New Roman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51"/>
    <w:rsid w:val="00000E24"/>
    <w:rsid w:val="00006632"/>
    <w:rsid w:val="00022C33"/>
    <w:rsid w:val="0002700F"/>
    <w:rsid w:val="00030086"/>
    <w:rsid w:val="00067645"/>
    <w:rsid w:val="00075D6B"/>
    <w:rsid w:val="000A6A10"/>
    <w:rsid w:val="000D3390"/>
    <w:rsid w:val="000E386D"/>
    <w:rsid w:val="000E72F3"/>
    <w:rsid w:val="000F3357"/>
    <w:rsid w:val="00104ABB"/>
    <w:rsid w:val="0010595B"/>
    <w:rsid w:val="00124D5A"/>
    <w:rsid w:val="0013585D"/>
    <w:rsid w:val="0014392D"/>
    <w:rsid w:val="0016192B"/>
    <w:rsid w:val="00161B3A"/>
    <w:rsid w:val="00182896"/>
    <w:rsid w:val="00187708"/>
    <w:rsid w:val="00196CB4"/>
    <w:rsid w:val="001A081D"/>
    <w:rsid w:val="001A3D07"/>
    <w:rsid w:val="001A4C0C"/>
    <w:rsid w:val="001B0C7B"/>
    <w:rsid w:val="001D11F4"/>
    <w:rsid w:val="001D1CD1"/>
    <w:rsid w:val="001D366C"/>
    <w:rsid w:val="001E6D4E"/>
    <w:rsid w:val="001F324E"/>
    <w:rsid w:val="0021082B"/>
    <w:rsid w:val="002238BE"/>
    <w:rsid w:val="0023067B"/>
    <w:rsid w:val="002419C4"/>
    <w:rsid w:val="002507CA"/>
    <w:rsid w:val="00263260"/>
    <w:rsid w:val="0026787C"/>
    <w:rsid w:val="00283F4F"/>
    <w:rsid w:val="00294429"/>
    <w:rsid w:val="00295455"/>
    <w:rsid w:val="002D3466"/>
    <w:rsid w:val="002D7E75"/>
    <w:rsid w:val="002E458D"/>
    <w:rsid w:val="00300434"/>
    <w:rsid w:val="00322280"/>
    <w:rsid w:val="00387DE6"/>
    <w:rsid w:val="003A08C0"/>
    <w:rsid w:val="003B622F"/>
    <w:rsid w:val="003D084B"/>
    <w:rsid w:val="003D1512"/>
    <w:rsid w:val="003E12FE"/>
    <w:rsid w:val="00406D9D"/>
    <w:rsid w:val="004135DB"/>
    <w:rsid w:val="00423282"/>
    <w:rsid w:val="00450B07"/>
    <w:rsid w:val="00457076"/>
    <w:rsid w:val="004627B2"/>
    <w:rsid w:val="00481F47"/>
    <w:rsid w:val="00493292"/>
    <w:rsid w:val="004A06B3"/>
    <w:rsid w:val="004B5918"/>
    <w:rsid w:val="004B5C76"/>
    <w:rsid w:val="004C71E7"/>
    <w:rsid w:val="004D6054"/>
    <w:rsid w:val="004E68D6"/>
    <w:rsid w:val="0052492F"/>
    <w:rsid w:val="00531AF0"/>
    <w:rsid w:val="00536A9A"/>
    <w:rsid w:val="00540C74"/>
    <w:rsid w:val="00575561"/>
    <w:rsid w:val="005924DC"/>
    <w:rsid w:val="00597BDB"/>
    <w:rsid w:val="005A20DC"/>
    <w:rsid w:val="005B7E79"/>
    <w:rsid w:val="005D44E8"/>
    <w:rsid w:val="005D4BA9"/>
    <w:rsid w:val="005E7304"/>
    <w:rsid w:val="005F2092"/>
    <w:rsid w:val="005F3F1E"/>
    <w:rsid w:val="00610E64"/>
    <w:rsid w:val="00611B48"/>
    <w:rsid w:val="00611CBF"/>
    <w:rsid w:val="00653095"/>
    <w:rsid w:val="00692C55"/>
    <w:rsid w:val="006F218A"/>
    <w:rsid w:val="00714474"/>
    <w:rsid w:val="00715AE2"/>
    <w:rsid w:val="00731FCF"/>
    <w:rsid w:val="00752216"/>
    <w:rsid w:val="0076303A"/>
    <w:rsid w:val="007B21C2"/>
    <w:rsid w:val="007B2EA6"/>
    <w:rsid w:val="007D18C8"/>
    <w:rsid w:val="007D5B45"/>
    <w:rsid w:val="007D660E"/>
    <w:rsid w:val="007E5321"/>
    <w:rsid w:val="007E548D"/>
    <w:rsid w:val="007E7A89"/>
    <w:rsid w:val="00804FF6"/>
    <w:rsid w:val="00822D6A"/>
    <w:rsid w:val="008231FD"/>
    <w:rsid w:val="00846D7F"/>
    <w:rsid w:val="008544B1"/>
    <w:rsid w:val="00857A0D"/>
    <w:rsid w:val="00890CCC"/>
    <w:rsid w:val="008A65B8"/>
    <w:rsid w:val="008B6C7A"/>
    <w:rsid w:val="008C0E18"/>
    <w:rsid w:val="008C4892"/>
    <w:rsid w:val="008C4C38"/>
    <w:rsid w:val="00915508"/>
    <w:rsid w:val="0093297F"/>
    <w:rsid w:val="00944B6A"/>
    <w:rsid w:val="009467AE"/>
    <w:rsid w:val="00953BAE"/>
    <w:rsid w:val="00962A0F"/>
    <w:rsid w:val="009A4ED5"/>
    <w:rsid w:val="009B1D92"/>
    <w:rsid w:val="009B2270"/>
    <w:rsid w:val="009B490D"/>
    <w:rsid w:val="009C6C12"/>
    <w:rsid w:val="009E715E"/>
    <w:rsid w:val="009F3C35"/>
    <w:rsid w:val="00A01275"/>
    <w:rsid w:val="00A20B00"/>
    <w:rsid w:val="00A33251"/>
    <w:rsid w:val="00A35873"/>
    <w:rsid w:val="00A51659"/>
    <w:rsid w:val="00A72C41"/>
    <w:rsid w:val="00AC6AE3"/>
    <w:rsid w:val="00B06943"/>
    <w:rsid w:val="00B06B96"/>
    <w:rsid w:val="00B16ED8"/>
    <w:rsid w:val="00B178AD"/>
    <w:rsid w:val="00B17BB6"/>
    <w:rsid w:val="00B21E66"/>
    <w:rsid w:val="00B2464E"/>
    <w:rsid w:val="00B260BC"/>
    <w:rsid w:val="00B3740E"/>
    <w:rsid w:val="00B410C4"/>
    <w:rsid w:val="00B46227"/>
    <w:rsid w:val="00B6029C"/>
    <w:rsid w:val="00B62A15"/>
    <w:rsid w:val="00B6308C"/>
    <w:rsid w:val="00B9059D"/>
    <w:rsid w:val="00B9178E"/>
    <w:rsid w:val="00BA0BE6"/>
    <w:rsid w:val="00BA6B02"/>
    <w:rsid w:val="00BB52D1"/>
    <w:rsid w:val="00BB714C"/>
    <w:rsid w:val="00BC052B"/>
    <w:rsid w:val="00BE13CE"/>
    <w:rsid w:val="00BE20F7"/>
    <w:rsid w:val="00C441BA"/>
    <w:rsid w:val="00C46BEC"/>
    <w:rsid w:val="00C51124"/>
    <w:rsid w:val="00C55213"/>
    <w:rsid w:val="00C5713E"/>
    <w:rsid w:val="00C709F5"/>
    <w:rsid w:val="00C84E09"/>
    <w:rsid w:val="00C8647D"/>
    <w:rsid w:val="00C87A34"/>
    <w:rsid w:val="00CA5834"/>
    <w:rsid w:val="00CA6522"/>
    <w:rsid w:val="00CE1584"/>
    <w:rsid w:val="00D2383F"/>
    <w:rsid w:val="00D25E85"/>
    <w:rsid w:val="00D65465"/>
    <w:rsid w:val="00D674DE"/>
    <w:rsid w:val="00D714D6"/>
    <w:rsid w:val="00D835E0"/>
    <w:rsid w:val="00D9465C"/>
    <w:rsid w:val="00DA2E51"/>
    <w:rsid w:val="00DA40C0"/>
    <w:rsid w:val="00DB3896"/>
    <w:rsid w:val="00DB540C"/>
    <w:rsid w:val="00DB774D"/>
    <w:rsid w:val="00DC23E8"/>
    <w:rsid w:val="00DD74C4"/>
    <w:rsid w:val="00E03D48"/>
    <w:rsid w:val="00E21DF2"/>
    <w:rsid w:val="00E34CA3"/>
    <w:rsid w:val="00E35C9A"/>
    <w:rsid w:val="00E444A2"/>
    <w:rsid w:val="00E45DFF"/>
    <w:rsid w:val="00E560CA"/>
    <w:rsid w:val="00E661C3"/>
    <w:rsid w:val="00E911E1"/>
    <w:rsid w:val="00E96CA2"/>
    <w:rsid w:val="00EA3FDD"/>
    <w:rsid w:val="00ED0E4A"/>
    <w:rsid w:val="00ED3001"/>
    <w:rsid w:val="00EE72B6"/>
    <w:rsid w:val="00F02ACF"/>
    <w:rsid w:val="00F0504D"/>
    <w:rsid w:val="00F070B2"/>
    <w:rsid w:val="00F41754"/>
    <w:rsid w:val="00F714FB"/>
    <w:rsid w:val="00F73AF0"/>
    <w:rsid w:val="00F75D4D"/>
    <w:rsid w:val="00F770B6"/>
    <w:rsid w:val="00F808D8"/>
    <w:rsid w:val="00F8224A"/>
    <w:rsid w:val="00F84AF9"/>
    <w:rsid w:val="00F91E55"/>
    <w:rsid w:val="00F922AB"/>
    <w:rsid w:val="00FA1754"/>
    <w:rsid w:val="00FB0BE3"/>
    <w:rsid w:val="00FB6266"/>
    <w:rsid w:val="00FC184E"/>
    <w:rsid w:val="00FC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915B"/>
  <w15:docId w15:val="{355D7E43-9BFE-A143-9869-F18A896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A9A"/>
  </w:style>
  <w:style w:type="paragraph" w:styleId="Heading1">
    <w:name w:val="heading 1"/>
    <w:basedOn w:val="Normal"/>
    <w:next w:val="Normal"/>
    <w:link w:val="Heading1Char"/>
    <w:uiPriority w:val="9"/>
    <w:qFormat/>
    <w:rsid w:val="005A2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3251"/>
    <w:pPr>
      <w:keepNext/>
      <w:keepLines/>
      <w:spacing w:before="120" w:after="0" w:line="360" w:lineRule="auto"/>
      <w:ind w:left="709" w:right="709"/>
      <w:jc w:val="center"/>
      <w:outlineLvl w:val="1"/>
    </w:pPr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3251"/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styleId="Title">
    <w:name w:val="Title"/>
    <w:basedOn w:val="Normal"/>
    <w:link w:val="TitleChar"/>
    <w:qFormat/>
    <w:rsid w:val="00A33251"/>
    <w:pPr>
      <w:keepNext/>
      <w:keepLines/>
      <w:spacing w:before="100" w:beforeAutospacing="1" w:after="120" w:line="360" w:lineRule="auto"/>
      <w:jc w:val="center"/>
    </w:pPr>
    <w:rPr>
      <w:rFonts w:ascii="Times New Roman" w:eastAsia="MS Mincho" w:hAnsi="Times New Roman" w:cs="Times New Roman"/>
      <w:b/>
      <w:cap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A33251"/>
    <w:rPr>
      <w:rFonts w:ascii="Times New Roman" w:eastAsia="MS Mincho" w:hAnsi="Times New Roman" w:cs="Times New Roman"/>
      <w:b/>
      <w:caps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A33251"/>
    <w:pPr>
      <w:spacing w:before="120" w:after="0" w:line="360" w:lineRule="auto"/>
      <w:ind w:firstLine="709"/>
      <w:contextualSpacing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33251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752216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522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5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52216"/>
    <w:pPr>
      <w:ind w:left="720"/>
      <w:contextualSpacing/>
    </w:pPr>
    <w:rPr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2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C552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C55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A3F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4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6A"/>
  </w:style>
  <w:style w:type="paragraph" w:styleId="Footer">
    <w:name w:val="footer"/>
    <w:basedOn w:val="Normal"/>
    <w:link w:val="FooterChar"/>
    <w:uiPriority w:val="99"/>
    <w:unhideWhenUsed/>
    <w:rsid w:val="0094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6A"/>
  </w:style>
  <w:style w:type="character" w:styleId="Hyperlink">
    <w:name w:val="Hyperlink"/>
    <w:rsid w:val="00FB0B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5A2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20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A20DC"/>
  </w:style>
  <w:style w:type="character" w:styleId="FollowedHyperlink">
    <w:name w:val="FollowedHyperlink"/>
    <w:basedOn w:val="DefaultParagraphFont"/>
    <w:uiPriority w:val="99"/>
    <w:semiHidden/>
    <w:unhideWhenUsed/>
    <w:rsid w:val="004570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D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8BFC-7430-7140-B7E3-0B09A2C5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Delini</cp:lastModifiedBy>
  <cp:revision>17</cp:revision>
  <cp:lastPrinted>2019-09-16T05:51:00Z</cp:lastPrinted>
  <dcterms:created xsi:type="dcterms:W3CDTF">2020-02-02T08:53:00Z</dcterms:created>
  <dcterms:modified xsi:type="dcterms:W3CDTF">2020-02-02T09:19:00Z</dcterms:modified>
</cp:coreProperties>
</file>