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360" w:after="0"/>
        <w:rPr>
          <w:sz w:val="32"/>
          <w:szCs w:val="32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Національний університет біоресурсів і природокористування України</w:t>
      </w: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(НУБіП України)</w:t>
      </w: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2971170</wp:posOffset>
                </wp:positionH>
                <wp:positionV relativeFrom="paragraph">
                  <wp:posOffset>31754</wp:posOffset>
                </wp:positionV>
                <wp:extent cx="914400" cy="914400"/>
                <wp:effectExtent l="0" t="0" r="0" b="0"/>
                <wp:wrapNone/>
                <wp:docPr id="9" name="Текстовое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1723390"/>
                        </a:xfrm>
                        <a:prstGeom prst="rect"/>
                        <a:solidFill>
                          <a:prstClr val="white"/>
                        </a:solidFill>
                        <a:ln cap="flat">
                          <a:noFill/>
                        </a:ln>
                      </wps:spPr>
                      <wps:txbx style="" inset="7pt,4pt,7pt,4pt">
                        <w:txbxContent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 w:eastAsiaTheme="minorHAns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 w:eastAsiaTheme="minorHAnsi"/>
                              </w:rPr>
                              <w:t>ЗАТВЕРДЖУЮ</w:t>
                            </w:r>
                          </w:p>
                          <w:p>
                            <w:pPr>
                              <w:spacing w:lineRule="auto" w:line="360" w:after="0"/>
                              <w:ind w:left="4962" w:hanging="4962"/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</w:rPr>
                              <w:t xml:space="preserve">Заступник декана 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  <w:lang w:val="ru-RU"/>
                              </w:rPr>
                              <w:t>юридичного</w:t>
                            </w:r>
                          </w:p>
                          <w:p>
                            <w:pPr>
                              <w:spacing w:lineRule="auto" w:line="360" w:after="0"/>
                              <w:ind w:left="4962" w:hanging="4962"/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맑은 고딕" w:hAnsi="맑은 고딕" w:cs="맑은 고딕" w:eastAsiaTheme="minorHAns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</w:rPr>
                              <w:t xml:space="preserve">факультету з наукової роботи  </w:t>
                            </w:r>
                          </w:p>
                          <w:p>
                            <w:pPr>
                              <w:jc w:val="center"/>
                              <w:spacing w:lineRule="auto" w:line="275" w:after="200"/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맑은 고딕" w:hAnsi="맑은 고딕" w:cs="맑은 고딕" w:eastAsiaTheme="minorHAns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맑은 고딕" w:hAnsi="맑은 고딕" w:cs="맑은 고딕" w:eastAsiaTheme="minorHAnsi"/>
                              </w:rPr>
                              <w:t xml:space="preserve">____________________ 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</w:rPr>
                              <w:t xml:space="preserve">В. Л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Times New Roman" w:hAnsi="Times New Roman" w:cs="Times New Roman"/>
                                <w:lang w:val="ru-RU"/>
                              </w:rPr>
                              <w:t>АДИЧЕНКО</w:t>
                            </w:r>
                          </w:p>
                          <w:p>
                            <w:pPr>
                              <w:spacing w:lineRule="auto" w:line="275" w:after="200"/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맑은 고딕" w:hAnsi="맑은 고딕" w:cs="맑은 고딕" w:eastAsiaTheme="minorHAnsi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shd w:val="clear" w:color="auto" w:fill="auto"/>
                                <w:rFonts w:ascii="Times New Roman" w:eastAsia="맑은 고딕" w:hAnsi="맑은 고딕" w:cs="맑은 고딕" w:eastAsiaTheme="minorHAnsi"/>
                              </w:rPr>
                              <w:t xml:space="preserve">             підпис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234pt;mso-position-horizontal:absolute;mso-position-horizontal-relative:text;margin-top:3pt;mso-position-vertical:absolute;mso-position-vertical-relative:text;width:252.6pt;height:135.6pt;z-index:251624961" coordsize="3208655,1722755" path="m,l3208655,,3208655,1722755,,1722755xe" stroked="f">
                <v:textbox style="" inset="7pt,4pt,7pt,4pt">
                  <w:txbxContent>
                    <w:p>
                      <w:pPr>
                        <w:jc w:val="center"/>
                        <w:spacing w:lineRule="auto" w:line="275" w:after="200"/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 w:eastAsiaTheme="minorHAnsi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 w:eastAsiaTheme="minorHAnsi"/>
                        </w:rPr>
                        <w:t>ЗАТВЕРДЖУЮ</w:t>
                      </w:r>
                    </w:p>
                    <w:p>
                      <w:pPr>
                        <w:spacing w:lineRule="auto" w:line="360" w:after="0"/>
                        <w:ind w:left="4962" w:hanging="4962"/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</w:rPr>
                        <w:t xml:space="preserve">Заступник декана </w:t>
                      </w: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  <w:lang w:val="ru-RU"/>
                        </w:rPr>
                        <w:t>юридичного</w:t>
                      </w:r>
                    </w:p>
                    <w:p>
                      <w:pPr>
                        <w:spacing w:lineRule="auto" w:line="360" w:after="0"/>
                        <w:ind w:left="4962" w:hanging="4962"/>
                        <w:rPr>
                          <w:sz w:val="24"/>
                          <w:szCs w:val="24"/>
                          <w:shd w:val="clear" w:color="auto" w:fill="auto"/>
                          <w:rFonts w:ascii="Times New Roman" w:eastAsia="맑은 고딕" w:hAnsi="맑은 고딕" w:cs="맑은 고딕" w:eastAsiaTheme="minorHAnsi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</w:rPr>
                        <w:t xml:space="preserve">факультету з наукової роботи  </w:t>
                      </w:r>
                    </w:p>
                    <w:p>
                      <w:pPr>
                        <w:jc w:val="center"/>
                        <w:spacing w:lineRule="auto" w:line="275" w:after="200"/>
                        <w:rPr>
                          <w:sz w:val="24"/>
                          <w:szCs w:val="24"/>
                          <w:shd w:val="clear" w:color="auto" w:fill="auto"/>
                          <w:rFonts w:ascii="Times New Roman" w:eastAsia="맑은 고딕" w:hAnsi="맑은 고딕" w:cs="맑은 고딕" w:eastAsiaTheme="minorHAnsi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맑은 고딕" w:hAnsi="맑은 고딕" w:cs="맑은 고딕" w:eastAsiaTheme="minorHAnsi"/>
                        </w:rPr>
                        <w:t xml:space="preserve">____________________ </w:t>
                      </w: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</w:rPr>
                        <w:t xml:space="preserve">В. Л</w:t>
                      </w: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Times New Roman" w:hAnsi="Times New Roman" w:cs="Times New Roman"/>
                          <w:lang w:val="ru-RU"/>
                        </w:rPr>
                        <w:t>АДИЧЕНКО</w:t>
                      </w:r>
                    </w:p>
                    <w:p>
                      <w:pPr>
                        <w:spacing w:lineRule="auto" w:line="275" w:after="200"/>
                        <w:rPr>
                          <w:sz w:val="24"/>
                          <w:szCs w:val="24"/>
                          <w:shd w:val="clear" w:color="auto" w:fill="auto"/>
                          <w:rFonts w:ascii="Times New Roman" w:eastAsia="맑은 고딕" w:hAnsi="맑은 고딕" w:cs="맑은 고딕" w:eastAsiaTheme="minorHAnsi"/>
                        </w:rPr>
                      </w:pPr>
                      <w:r>
                        <w:rPr>
                          <w:sz w:val="24"/>
                          <w:szCs w:val="24"/>
                          <w:shd w:val="clear" w:color="auto" w:fill="auto"/>
                          <w:rFonts w:ascii="Times New Roman" w:eastAsia="맑은 고딕" w:hAnsi="맑은 고딕" w:cs="맑은 고딕" w:eastAsiaTheme="minorHAnsi"/>
                        </w:rPr>
                        <w:t xml:space="preserve">             підпис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right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ЗВІТ</w:t>
      </w: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про роботу наукового гуртка </w:t>
      </w: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"Історія вчень про державу і право"</w:t>
      </w: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в 2021-2022 н.р. </w:t>
      </w:r>
    </w:p>
    <w:p>
      <w:pPr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Керівник науково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го гуртка:</w:t>
      </w:r>
    </w:p>
    <w:p>
      <w:pPr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кандидат історичних наук, доцент,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</w:t>
      </w:r>
    </w:p>
    <w:p>
      <w:pPr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доцент кафедри теорії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</w:p>
    <w:p>
      <w:pPr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та історії держави і права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  Л. П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РОТОСАВІЦЬКА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                           </w:t>
      </w: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202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2</w:t>
      </w: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Науковий гурток "Історія вчень про державу і право" </w:t>
      </w:r>
    </w:p>
    <w:p>
      <w:pPr>
        <w:jc w:val="center"/>
        <w:spacing w:lineRule="auto" w:line="360" w:after="0"/>
        <w:ind w:left="4962" w:hanging="4962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Координати гуртка: 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м. Київ, вул. Васильківська 17, ауд. 22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4</w:t>
      </w:r>
    </w:p>
    <w:p>
      <w:pPr>
        <w:jc w:val="center"/>
        <w:spacing w:lineRule="auto" w:line="360" w:after="0"/>
        <w:ind w:left="4962" w:hanging="4962"/>
        <w:rPr>
          <w:spacing w:val="3"/>
          <w:i w:val="0"/>
          <w:b w:val="1"/>
          <w:color w:val="5F6368"/>
          <w:sz w:val="28"/>
          <w:szCs w:val="28"/>
          <w:shd w:val="clear" w:color="auto" w:fill="FFFFFF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е-mail: </w:t>
      </w:r>
      <w:r>
        <w:fldChar w:fldCharType="begin"/>
      </w:r>
      <w:r>
        <w:instrText xml:space="preserve">HYPERLINK "mailto:historylaw_chair@nubip.edu.ua"</w:instrText>
      </w:r>
      <w:r>
        <w:fldChar w:fldCharType="separate"/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y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l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w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_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c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r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@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b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fldChar w:fldCharType="end"/>
      </w: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,</w:t>
      </w: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fldChar w:fldCharType="begin"/>
      </w:r>
      <w:r>
        <w:instrText xml:space="preserve">HYPERLINK "mailto:protosavitska_l@nubip.edu.ua"</w:instrText>
      </w:r>
      <w:r>
        <w:fldChar w:fldCharType="separate"/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p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r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o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t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o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s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a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v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i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t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s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k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a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_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l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@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n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u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b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i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p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.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e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d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u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.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u</w:t>
      </w:r>
      <w:r>
        <w:rPr>
          <w:spacing w:val="3"/>
          <w:i w:val="0"/>
          <w:b w:val="1"/>
          <w:color w:val="0563C1" w:themeColor="hyperlink"/>
          <w:sz w:val="28"/>
          <w:szCs w:val="28"/>
          <w:u w:val="single"/>
          <w:shd w:val="clear" w:color="auto" w:fill="FFFFFF"/>
          <w:rFonts w:ascii="Times New Roman" w:eastAsia="Times New Roman" w:hAnsi="Times New Roman" w:cs="Times New Roman"/>
        </w:rPr>
        <w:t>a</w:t>
      </w:r>
      <w:r>
        <w:rPr>
          <w:spacing w:val="3"/>
          <w:i w:val="0"/>
          <w:b w:val="0"/>
          <w:color w:val="5F6368"/>
          <w:sz w:val="28"/>
          <w:szCs w:val="28"/>
          <w:shd w:val="clear" w:color="auto" w:fill="FFFFFF"/>
          <w:rFonts w:ascii="Times New Roman" w:eastAsia="Times New Roman" w:hAnsi="Times New Roman" w:cs="Times New Roman"/>
        </w:rPr>
        <w:fldChar w:fldCharType="end"/>
      </w:r>
    </w:p>
    <w:p>
      <w:pPr>
        <w:jc w:val="center"/>
        <w:spacing w:lineRule="auto" w:line="360" w:after="0"/>
        <w:ind w:left="4962" w:hanging="4962"/>
        <w:rPr>
          <w:b w:val="1"/>
          <w:sz w:val="24"/>
          <w:szCs w:val="24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Керівник гуртка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- Людмила ПРОТОСАВІЦЮКА</w:t>
      </w:r>
    </w:p>
    <w:p>
      <w:pPr>
        <w:jc w:val="center"/>
        <w:spacing w:lineRule="auto" w:line="360" w:after="0"/>
        <w:ind w:left="4962" w:hanging="4962"/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Секретар гуртка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- Тетяна СКИДАНЧУК</w:t>
      </w:r>
    </w:p>
    <w:p>
      <w:pPr>
        <w:jc w:val="center"/>
        <w:spacing w:lineRule="auto" w:line="360" w:after="0"/>
        <w:ind w:left="4962" w:hanging="4962"/>
        <w:rPr>
          <w:rStyle w:val="PO1"/>
          <w:b w:val="1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jc w:val="both"/>
        <w:spacing w:lineRule="auto" w:line="240" w:after="0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rStyle w:val="PO1"/>
          <w:b w:val="1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t xml:space="preserve">ІСТОРІЯ.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З вересня 2014 року при кафедрі теорії та історії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держави і права розпочав свою роботу студентський науковий гурток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з </w:t>
      </w: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«Історії вчень про державу і право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» під керівництвом к.і.н., доц.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кафедри Протосавіцької Л.С. </w:t>
      </w:r>
    </w:p>
    <w:p>
      <w:pPr>
        <w:jc w:val="both"/>
        <w:spacing w:lineRule="auto" w:line="240" w:after="0"/>
        <w:ind w:firstLine="709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Членами  наукового гуртка є студенти 1-2 курсів юридичного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факультету, які виявили бажання і потенціал працювати над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науковими роботами, готувати наукові доповіді та статті, брати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участь у різноманітних науково-практичних конференціях, семінарах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та конкурсах як в Україні, так і за її межами. </w:t>
      </w:r>
    </w:p>
    <w:p>
      <w:pPr>
        <w:jc w:val="both"/>
        <w:spacing w:lineRule="auto" w:line="240" w:after="0"/>
        <w:ind w:firstLine="709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Протягом навчального року 20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  <w:lang w:val="ru-RU"/>
        </w:rPr>
        <w:t>21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-20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  <w:lang w:val="ru-RU"/>
        </w:rPr>
        <w:t>22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 у роботі гуртка у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середньому берало активну участь 2</w:t>
      </w:r>
      <w:r>
        <w:rPr>
          <w:color w:val="auto"/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  <w:lang w:val="ru-RU"/>
        </w:rPr>
        <w:t>5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 студе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н</w:t>
      </w:r>
      <w:r>
        <w:rPr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т</w:t>
      </w:r>
      <w:r>
        <w:rPr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ів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, які працювали над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своїми науковими роботами .</w:t>
      </w:r>
    </w:p>
    <w:p>
      <w:pPr>
        <w:jc w:val="both"/>
        <w:spacing w:lineRule="auto" w:line="360" w:after="0"/>
        <w:ind w:left="0" w:firstLine="0"/>
        <w:rPr>
          <w:b w:val="1"/>
          <w:sz w:val="24"/>
          <w:szCs w:val="24"/>
          <w:u w:val="single"/>
          <w:shd w:val="clear" w:color="auto" w:fill="auto"/>
          <w:rFonts w:ascii="Times New Roman" w:eastAsia="Times New Roman" w:hAnsi="Times New Roman" w:cs="Times New Roman" w:eastAsiaTheme="minorHAnsi"/>
          <w:lang w:val="ru-RU"/>
        </w:rPr>
      </w:pPr>
      <w:r>
        <w:rPr>
          <w:rStyle w:val="PO1"/>
          <w:b w:val="1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t xml:space="preserve">НАУКОВА СПРЯМОВАНІСТЬ ГУРТКА "іСТОРІЯ </w:t>
      </w:r>
      <w:r>
        <w:rPr>
          <w:rStyle w:val="PO1"/>
          <w:b w:val="1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  <w:t xml:space="preserve">ВЧЕНЬ ПРО ДЕРЖАВУ І ПРАВО"</w:t>
      </w:r>
    </w:p>
    <w:p>
      <w:pPr>
        <w:jc w:val="both"/>
        <w:spacing w:lineRule="auto" w:line="240" w:after="0"/>
        <w:ind w:firstLine="709"/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</w:pPr>
      <w:r>
        <w:rPr>
          <w:b w:val="1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 w:eastAsiaTheme="minorHAnsi"/>
        </w:rPr>
        <w:t xml:space="preserve">Мет: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популяризація наукової роботи серед студентської молоді,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ознайомлення з сучасними дослідженням юридичної науки та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перспекти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-вами таких досліджень.</w:t>
      </w:r>
    </w:p>
    <w:p>
      <w:pPr>
        <w:jc w:val="both"/>
        <w:spacing w:lineRule="auto" w:line="240" w:after="0"/>
        <w:ind w:left="0" w:firstLine="623"/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</w:pPr>
      <w:r>
        <w:rPr>
          <w:b w:val="1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 w:eastAsiaTheme="minorHAnsi"/>
        </w:rPr>
        <w:t xml:space="preserve">Основними завданнями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наукового гуртка з «Історії вчень про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державу і право» є: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оволодіння  студентами методами наукового пізнання;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поглиблення знань із навчальних дисциплін;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розвиток творчого мислення, розширення наукового кругозору та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формування наукового світогляду членів гуртка;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набуття ними навичок науково-дослідницької діяльності;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умінь використовувати теоретичні знання в практичній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діяльності;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виховання в студентів потреби в постійному вдосконаленні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знань з обраної професії. 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підготовка із числа найбільш здатних, активних і успішних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студентів резерву наукових і науково-педагогічних кадрів;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 виявлення найбільш обдарованих і талановитих студентів, 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використання їх творчого й інтелектуального потенціалу для 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вирішення ак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туальних завдань підвищення ефективності освітнього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процесу.</w:t>
      </w:r>
    </w:p>
    <w:p>
      <w:pPr>
        <w:jc w:val="both"/>
        <w:spacing w:lineRule="auto" w:line="240" w:after="0"/>
        <w:ind w:left="0" w:firstLine="0"/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Основними цілями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 наукового гуртка з «Історії вчень про державу і 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 xml:space="preserve">право» є: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сприяння в підви-щенні рівня наукової підготовки студентів;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формування у студен-тів інтересу й потреби до наукової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творчості;</w:t>
      </w:r>
    </w:p>
    <w:p>
      <w:pPr>
        <w:numPr>
          <w:numId w:val="5"/>
          <w:ilvl w:val="0"/>
        </w:numPr>
        <w:jc w:val="both"/>
        <w:spacing w:lineRule="auto" w:line="240" w:after="0"/>
        <w:ind w:left="0" w:firstLine="0"/>
        <w:tabs>
          <w:tab w:val="left" w:pos="720"/>
        </w:tabs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розвиток творчого мислення, наукової самостій-ності,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підвищення внутрішньої організованості, свідомого відношення до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навчання, поглиблення й закріплення отриманих у процесі навчання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знань.</w:t>
      </w:r>
    </w:p>
    <w:p>
      <w:pPr>
        <w:jc w:val="both"/>
        <w:spacing w:lineRule="auto" w:line="240" w:after="0"/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b w:val="1"/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>Здобутки:</w:t>
      </w:r>
    </w:p>
    <w:p>
      <w:pPr>
        <w:numPr>
          <w:numId w:val="6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Студенти розширили межі власного уявлення про вплив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історичних процесів на державу і право, на розвиток правових вчень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як в Україні так і за кордоном;</w:t>
      </w:r>
    </w:p>
    <w:p>
      <w:pPr>
        <w:numPr>
          <w:numId w:val="7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Студенти  ознайомилися з найбільш цікавими і актуальними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питаннями історії держави і права, правовими вченнями як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вітчизняних так і закордонних мислителів;</w:t>
      </w:r>
    </w:p>
    <w:p>
      <w:pPr>
        <w:numPr>
          <w:numId w:val="7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Навчилися готувати доповіді згідно з обраної тематики,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користуватися науковою літературою, ставити проблемні питання,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робити висновки;</w:t>
      </w:r>
    </w:p>
    <w:p>
      <w:pPr>
        <w:numPr>
          <w:numId w:val="7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Під час обговорення дискусійних проблем студенти намагалися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ставитися толерантно і поважно до точки зору інших, висловлювали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свою позицію, яка іноді не співпадала з доповідачем;</w:t>
      </w:r>
    </w:p>
    <w:p>
      <w:pPr>
        <w:numPr>
          <w:numId w:val="7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При висвітленні тем доповідей студенти доклали максимум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зусиль аби  якомога глибше дослідити  проблему;</w:t>
      </w:r>
    </w:p>
    <w:p>
      <w:pPr>
        <w:numPr>
          <w:numId w:val="7"/>
          <w:ilvl w:val="0"/>
        </w:numPr>
        <w:jc w:val="both"/>
        <w:spacing w:lineRule="auto" w:line="240" w:after="0"/>
        <w:contextualSpacing w:val="1"/>
        <w:ind w:left="0" w:firstLine="0"/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</w:pP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Навчилися на високому науковому рівні обгрунтовувати та 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коментувати власну точку зору, а також долучилися до  науково-</w:t>
      </w:r>
      <w:r>
        <w:rPr>
          <w:sz w:val="28"/>
          <w:szCs w:val="28"/>
          <w:shd w:val="clear" w:color="auto" w:fill="auto"/>
          <w:rFonts w:ascii="Times New Roman" w:eastAsia="Times New Roman" w:hAnsi="Times New Roman" w:cs="Times New Roman" w:eastAsiaTheme="minorHAnsi"/>
        </w:rPr>
        <w:t xml:space="preserve">дослідної тематики кафедри</w:t>
      </w:r>
      <w:r>
        <w:rPr>
          <w:sz w:val="28"/>
          <w:szCs w:val="28"/>
          <w:shd w:val="clear" w:color="auto" w:fill="auto"/>
          <w:rFonts w:ascii="Times New Roman" w:eastAsia="맑은 고딕" w:hAnsi="맑은 고딕" w:cs="맑은 고딕" w:eastAsiaTheme="minorHAnsi"/>
        </w:rPr>
        <w:t>.</w:t>
      </w:r>
    </w:p>
    <w:p>
      <w:pPr>
        <w:pStyle w:val="PO1"/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О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ФІЦІЙНА ВЕБ-СТОРІНКА ГУРТКА - </w:t>
      </w:r>
      <w:r>
        <w:fldChar w:fldCharType="begin"/>
      </w:r>
      <w:r>
        <w:instrText xml:space="preserve">HYPERLINK "https://nubip.edu.ua/node/31064"</w:instrText>
      </w:r>
      <w:r>
        <w:fldChar w:fldCharType="separate"/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h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t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s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: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b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i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p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u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a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n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o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d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e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/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3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1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0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6</w:t>
      </w:r>
      <w:r>
        <w:rPr>
          <w:rStyle w:val="PO1"/>
          <w:b w:val="1"/>
          <w:color w:val="0563C1" w:themeColor="hyperlink"/>
          <w:sz w:val="28"/>
          <w:szCs w:val="28"/>
          <w:u w:val="single"/>
          <w:shd w:val="clear" w:color="auto" w:fill="auto"/>
          <w:rFonts w:ascii="Times New Roman" w:eastAsia="Times New Roman" w:hAnsi="Times New Roman" w:cs="Times New Roman"/>
        </w:rPr>
        <w:t>4</w:t>
      </w:r>
      <w:r>
        <w:rPr>
          <w:rStyle w:val="PO1"/>
          <w:shd w:val="clear" w:color="auto" w:fill="auto"/>
        </w:rPr>
        <w:fldChar w:fldCharType="end"/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br/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КІЛЬКІСТЬ ЧЛЕНІВ ГУРТКА – 2</w:t>
      </w:r>
      <w:r>
        <w:rPr>
          <w:rStyle w:val="PO1"/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5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ос</w:t>
      </w:r>
      <w:r>
        <w:rPr>
          <w:rStyle w:val="PO1"/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і</w:t>
      </w:r>
      <w:r>
        <w:rPr>
          <w:rStyle w:val="PO1"/>
          <w:b w:val="1"/>
          <w:color w:val="auto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б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.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br/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КІЛЬКІСТЬ СТУДЕНТІВ, ЗАЛУЧЕНИХ ДО РОБОТИ ГУРТКА 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(НЕ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ЧЛЕНІВ ГУРТКА) – 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0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br/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ПЛАН РОБОТИ ГУРТКА НА 202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2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-202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>3</w:t>
      </w: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 навчальний рік: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 Участь у ХV Всеукраїнська студентська науково-практична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конференція «Проблеми юридичної науки очима молодих науковців»;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«Участь у міжнародних науково-практичних конференціях;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Участь у І турі Всеукраїнської олімпіади з права;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Участь у фестивалі студенської науки;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Проведення тематичних семінарів циклу: «Правові ідеї та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погляди вітчизняних та європейських вчених, мислителів і правників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ХХ -ХХІ ст.ст.»;</w:t>
      </w:r>
    </w:p>
    <w:p>
      <w:pPr>
        <w:numPr>
          <w:numId w:val="11"/>
          <w:ilvl w:val="0"/>
        </w:numPr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Екскурсія учасників гуртка до музею НУБіП України;</w:t>
      </w:r>
    </w:p>
    <w:p>
      <w:pPr>
        <w:numPr>
          <w:numId w:val="11"/>
          <w:ilvl w:val="0"/>
        </w:numPr>
        <w:jc w:val="both"/>
        <w:spacing w:lineRule="auto" w:line="240" w:after="0"/>
        <w:ind w:left="0" w:firstLine="0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Відвідування виставок.</w:t>
      </w:r>
    </w:p>
    <w:p>
      <w:pPr>
        <w:numPr>
          <w:numId w:val="0"/>
          <w:ilvl w:val="0"/>
        </w:numPr>
        <w:jc w:val="center"/>
        <w:spacing w:lineRule="auto" w:line="240" w:after="0"/>
        <w:ind w:left="0" w:right="0" w:firstLine="0"/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numPr>
          <w:numId w:val="0"/>
          <w:ilvl w:val="0"/>
        </w:numPr>
        <w:jc w:val="center"/>
        <w:spacing w:lineRule="auto" w:line="240" w:after="0"/>
        <w:ind w:left="0" w:right="0" w:firstLine="0"/>
        <w:rPr>
          <w:rStyle w:val="PO1"/>
          <w:b w:val="1"/>
          <w:shd w:val="clear" w:color="auto" w:fill="auto"/>
        </w:rPr>
      </w:pP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ДОСЯГНУТІ РЕЗУЛЬТАТИ РОБОТИ ГУРТКА</w:t>
      </w:r>
    </w:p>
    <w:p>
      <w:pPr>
        <w:pStyle w:val="PO1"/>
        <w:jc w:val="center"/>
        <w:spacing w:lineRule="auto" w:line="300" w:after="0"/>
        <w:rPr>
          <w:rStyle w:val="PO1"/>
          <w:b w:val="1"/>
          <w:color w:val="auto"/>
          <w:sz w:val="20"/>
          <w:szCs w:val="20"/>
          <w:shd w:val="clear" w:color="auto" w:fill="auto"/>
          <w:rFonts w:ascii="Arial" w:eastAsia="Arial" w:hAnsi="Arial" w:cs="Arial"/>
        </w:rPr>
        <w:autoSpaceDE w:val="0"/>
        <w:autoSpaceDN w:val="0"/>
      </w:pPr>
    </w:p>
    <w:p>
      <w:pPr>
        <w:pStyle w:val="PO1"/>
        <w:jc w:val="both"/>
        <w:spacing w:lineRule="auto" w:line="300" w:after="0"/>
        <w:rPr>
          <w:rStyle w:val="PO1"/>
          <w:color w:val="auto"/>
          <w:sz w:val="20"/>
          <w:szCs w:val="20"/>
          <w:shd w:val="clear" w:color="auto" w:fill="auto"/>
          <w:rFonts w:ascii="Arial" w:eastAsia="Arial" w:hAnsi="Arial" w:cs="Arial"/>
        </w:rPr>
        <w:autoSpaceDE w:val="0"/>
        <w:autoSpaceDN w:val="0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486" w:type="dxa"/>
        <w:tblInd w:w="189" w:type="dxa"/>
        <w:tblLook w:val="0001E0" w:firstRow="1" w:lastRow="1" w:firstColumn="1" w:lastColumn="1" w:noHBand="0" w:noVBand="0"/>
        <w:tblLayout w:type="fixed"/>
      </w:tblPr>
      <w:tblGrid>
        <w:gridCol w:w="516"/>
        <w:gridCol w:w="5229"/>
        <w:gridCol w:w="1444"/>
        <w:gridCol w:w="2297"/>
      </w:tblGrid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center"/>
              <w:spacing w:lineRule="auto" w:line="300" w:after="0"/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№ </w:t>
            </w: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п/</w:t>
            </w: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center"/>
              <w:spacing w:lineRule="auto" w:line="300" w:after="0"/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Заходи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center"/>
              <w:spacing w:lineRule="auto" w:line="300" w:after="0"/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Термін </w:t>
            </w: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виконання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center"/>
              <w:spacing w:lineRule="auto" w:line="300" w:after="0"/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b w:val="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Виконавці</w:t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Організаційне засідання членів гуртка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"Історія вчень про державу і право".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Ознайомлення з планом заходів наукового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гуртка.  З’ясування основних завдань та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мети наукового гуртка.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вересень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>
              <w:instrText xml:space="preserve">HYPERLINK "https://nubip.edu.ua/node/97664 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9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7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6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6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4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Визначення правил культури ведення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дискусії. Обрання членами гуртка тем для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дискусій та доповідей.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вересень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2021р.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fldChar w:fldCharType="begin"/>
            </w:r>
            <w:r>
              <w:instrText xml:space="preserve">HYPERLINK "https://nubip.edu.ua/node/105577"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7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7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Формування вміння   ефективно   здобувати,  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аналізувати   і   використовувати інформацію. 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вересень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Активна участь членів гуртка в обговоренні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актуальних питань історії вчень про державу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і право:  Людина - суспільна істота. 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Антропоцентризм в поглядах мислителів ХV-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XXI  ст. 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вересень -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грудень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fldChar w:fldCharType="begin"/>
            </w:r>
            <w:r>
              <w:instrText xml:space="preserve">HYPERLINK "https://nubip.edu.ua/node/105579"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7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9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Підготовка членів гуртка до участі в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наукових конференціях, що організовуються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НУБіП України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жовтень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  <w:r>
              <w:fldChar w:fldCharType="begin"/>
            </w:r>
            <w:r>
              <w:instrText xml:space="preserve">HYPERLINK "https://nubip.edu.ua/node/105580"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Обговорення та подача   тез доповідей на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Всеукранські та міжнародні конференції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жовтень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Тематичне засідання членів гуртка: На шляху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до демократизації.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Теми доповідей: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Поняття демократії. Тривалий шлях до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демократизації.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Світові пам'ятки демократизації.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Аналіз праць мислителів Стародавньої Греції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і Риму- періоде коли зявляється поняття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демократії.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Демократизація як цінне надбання людства.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Зясування ролі демократії на шляху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розбудови Американської держави (США).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Демократизація та демократична держава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сьогодні. Ознаки сучасної демократії.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Демократія в працях мислителів та вчених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сучасності. 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жовтень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 </w:t>
            </w:r>
            <w:r>
              <w:fldChar w:fldCharType="begin"/>
            </w:r>
            <w:r>
              <w:instrText xml:space="preserve">HYPERLINK "https://nubip.edu.ua/node/105581"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Тематичне засідання членів гуртка: "Права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людини".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Теми доповідей: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Як зароджувались та розвивались права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людини. Поняття про права людини і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громадянина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Характеристика прав людини в часи Великої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Французької революції.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Взаємна відповідальність держави і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громадянина в українському суспільстві.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Інститут захисту прав людини в Україні.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листопад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>
              <w:instrText xml:space="preserve">HYPERLINK "https://nubip.edu.ua/node/105582"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2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Тематичне засідання членів гуртка: Форми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правління за умов демократії.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Теми доповідей: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Розподіл влади в демократичній країні.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Політичні режими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Ш.Л.Монтескє  «Про розподіл влади»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Аналіз та порівняння найкращих та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найгірших форм правління в працях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мислителів Античності, Середньовіччя,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Нового та Новітнього чісів (Юридичні ессе).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листопад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2021 р.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Тематичне засідання членів гуртка: "Правова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держава"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Ознаки правової держави.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Верховенство права – найсуттєвіша ознака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правової держави.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Дослідження поняття «Правова держава» (від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часів виникнення даного поняття до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сучасного розуміння правової держави)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Вплив громадянина на життя суспільства.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Політична діяльність. Політичні партії.    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Громадські організації. 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Соціальна активність громадян.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листопад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 </w:t>
            </w:r>
            <w:r>
              <w:fldChar w:fldCharType="begin"/>
            </w:r>
            <w:r>
              <w:instrText xml:space="preserve">HYPERLINK "https://nubip.edu.ua/node/105583"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3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</w:p>
        </w:tc>
      </w:tr>
      <w:tr>
        <w:trPr/>
        <w:tc>
          <w:tcPr>
            <w:tcW w:type="dxa" w:w="516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type="dxa" w:w="5229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Підсумкове засідання за осінній семестр 2021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-2022 навчального року</w:t>
            </w:r>
          </w:p>
        </w:tc>
        <w:tc>
          <w:tcPr>
            <w:tcW w:type="dxa" w:w="1444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листопад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type="dxa" w:w="2297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Протосавіцька Л.С. </w:t>
            </w:r>
            <w:r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t xml:space="preserve">та члени гуртка </w:t>
            </w:r>
          </w:p>
          <w:p>
            <w:pPr>
              <w:pStyle w:val="PO1"/>
              <w:jc w:val="both"/>
              <w:spacing w:lineRule="auto" w:line="300" w:after="0"/>
              <w:rPr>
                <w:rStyle w:val="PO1"/>
                <w:color w:val="auto"/>
                <w:sz w:val="24"/>
                <w:szCs w:val="24"/>
                <w:shd w:val="clear" w:color="auto" w:fill="auto"/>
                <w:rFonts w:ascii="Times New Roman" w:eastAsia="Times New Roman" w:hAnsi="Times New Roman" w:cs="Times New Roman"/>
              </w:rPr>
              <w:autoSpaceDE w:val="0"/>
              <w:autoSpaceDN w:val="0"/>
            </w:pPr>
            <w:r>
              <w:fldChar w:fldCharType="begin"/>
            </w:r>
            <w:r>
              <w:instrText xml:space="preserve">HYPERLINK "https://nubip.edu.ua/node/105584"</w:instrText>
            </w:r>
            <w:r>
              <w:fldChar w:fldCharType="separate"/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h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t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s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: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b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i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p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.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u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a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n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o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d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e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/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1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0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5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8</w:t>
            </w:r>
            <w:r>
              <w:rPr>
                <w:rStyle w:val="PO1"/>
                <w:color w:val="0563C1" w:themeColor="hyperlink"/>
                <w:sz w:val="24"/>
                <w:szCs w:val="24"/>
                <w:u w:val="single"/>
                <w:shd w:val="clear" w:color="auto" w:fill="auto"/>
                <w:rFonts w:ascii="Times New Roman" w:eastAsia="Times New Roman" w:hAnsi="Times New Roman" w:cs="Times New Roman"/>
              </w:rPr>
              <w:t>4</w:t>
            </w:r>
            <w:r>
              <w:rPr>
                <w:rStyle w:val="PO1"/>
                <w:shd w:val="clear" w:color="auto" w:fill="auto"/>
                <w:rFonts w:ascii="Segoe UI" w:eastAsia="Segoe UI" w:hAnsi="Segoe UI" w:cs="Segoe UI"/>
              </w:rPr>
              <w:fldChar w:fldCharType="end"/>
            </w:r>
          </w:p>
        </w:tc>
      </w:tr>
    </w:tbl>
    <w:p>
      <w:pPr>
        <w:numPr>
          <w:numId w:val="0"/>
          <w:ilvl w:val="0"/>
        </w:numPr>
        <w:ind w:left="0" w:right="0" w:firstLine="0"/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numPr>
          <w:numId w:val="0"/>
          <w:ilvl w:val="0"/>
        </w:numPr>
        <w:ind w:left="0" w:right="0" w:firstLine="0"/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b w:val="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ПЕРСПЕКТИВИ РОЗВИТКУ:</w:t>
      </w:r>
    </w:p>
    <w:p>
      <w:pPr>
        <w:pStyle w:val="PO1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1. Публікація наукових статей у фахових виданнях, підготовка і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видання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збірників студентських наукових робіт та участь в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>різноманітних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наукових конкурсах, конференціях, олімпіадах тощо.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</w:p>
    <w:p>
      <w:pPr>
        <w:pStyle w:val="PO1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2. Подання заявок на отримання міжнародних стипендій, грантів для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навчання у міжнародних ВЗО</w:t>
      </w:r>
    </w:p>
    <w:p>
      <w:pPr>
        <w:pStyle w:val="PO1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</w:pP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3.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Започаткувати видання збірників наукових праць учасників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  <w:lang w:val="ru-RU"/>
        </w:rPr>
        <w:t xml:space="preserve"> </w:t>
      </w:r>
      <w:r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  <w:t xml:space="preserve">студентського наукового гуртка.</w:t>
      </w:r>
    </w:p>
    <w:p>
      <w:pPr>
        <w:pStyle w:val="PO1"/>
        <w:rPr>
          <w:rStyle w:val="PO1"/>
          <w:sz w:val="28"/>
          <w:szCs w:val="28"/>
          <w:shd w:val="clear" w:color="auto" w:fill="auto"/>
          <w:rFonts w:ascii="Times New Roman" w:eastAsia="Times New Roman" w:hAnsi="Times New Roman" w:cs="Times New Roman"/>
        </w:rPr>
      </w:pPr>
    </w:p>
    <w:p>
      <w:pPr>
        <w:jc w:val="center"/>
        <w:spacing w:lineRule="auto" w:line="360" w:after="0"/>
        <w:ind w:left="4962" w:hanging="4962"/>
        <w:rPr>
          <w:rStyle w:val="PO1"/>
          <w:b w:val="1"/>
          <w:sz w:val="36"/>
          <w:szCs w:val="36"/>
          <w:shd w:val="clear" w:color="auto" w:fill="auto"/>
          <w:rFonts w:ascii="Times New Roman" w:eastAsia="Times New Roman" w:hAnsi="Times New Roman" w:cs="Times New Roman"/>
          <w:lang w:val="ru-RU"/>
        </w:rPr>
      </w:pPr>
    </w:p>
    <w:p>
      <w:pPr>
        <w:pStyle w:val="PO1"/>
        <w:rPr>
          <w:rStyle w:val="PO1"/>
          <w:shd w:val="clear" w:color="auto" w:fill="auto"/>
        </w:rPr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2">
    <w:multiLevelType w:val="hybridMultilevel"/>
    <w:nsid w:val="2F000002"/>
    <w:tmpl w:val="1F000C5F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3">
    <w:multiLevelType w:val="hybridMultilevel"/>
    <w:nsid w:val="2F000003"/>
    <w:tmpl w:val="1F0033C2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4">
    <w:multiLevelType w:val="hybridMultilevel"/>
    <w:nsid w:val="2F000004"/>
    <w:tmpl w:val="1F002570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5">
    <w:multiLevelType w:val="hybridMultilevel"/>
    <w:nsid w:val="2F000005"/>
    <w:tmpl w:val="1F001EB6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6">
    <w:multiLevelType w:val="hybridMultilevel"/>
    <w:nsid w:val="2F000006"/>
    <w:tmpl w:val="1F00166B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7">
    <w:multiLevelType w:val="hybridMultilevel"/>
    <w:nsid w:val="2F000007"/>
    <w:tmpl w:val="1F003957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8">
    <w:multiLevelType w:val="hybridMultilevel"/>
    <w:nsid w:val="2F000008"/>
    <w:tmpl w:val="1F0034A9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auto" w:fill="auto"/>
        <w:rFonts w:ascii="Segoe UI" w:eastAsia="Segoe UI" w:hAnsi="Segoe UI" w:cs="Segoe UI"/>
      </w:rPr>
      <w:lvlText w:val="-"/>
    </w:lvl>
  </w:abstractNum>
  <w:abstractNum w:abstractNumId="9">
    <w:multiLevelType w:val="hybridMultilevel"/>
    <w:nsid w:val="2F000009"/>
    <w:tmpl w:val="1F002FC8"/>
    <w:lvl w:ilvl="0">
      <w:lvlJc w:val="left"/>
      <w:numFmt w:val="bullet"/>
      <w:start w:val="1"/>
      <w:suff w:val="tab"/>
      <w:pPr>
        <w:ind w:left="1429" w:hanging="360"/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1">
      <w:lvlJc w:val="left"/>
      <w:numFmt w:val="bullet"/>
      <w:start w:val="1"/>
      <w:suff w:val="tab"/>
      <w:pPr>
        <w:ind w:left="2149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2">
      <w:lvlJc w:val="left"/>
      <w:numFmt w:val="bullet"/>
      <w:start w:val="1"/>
      <w:suff w:val="tab"/>
      <w:pPr>
        <w:ind w:left="2869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  <w:lvl w:ilvl="3">
      <w:lvlJc w:val="left"/>
      <w:numFmt w:val="bullet"/>
      <w:start w:val="1"/>
      <w:suff w:val="tab"/>
      <w:pPr>
        <w:ind w:left="3589" w:hanging="360"/>
        <w:rPr/>
      </w:pPr>
      <w:rPr>
        <w:shd w:val="clear" w:color="auto" w:fill="auto"/>
        <w:rFonts w:ascii="Segoe UI" w:eastAsia="Segoe UI" w:hAnsi="Segoe UI" w:cs="Segoe UI"/>
      </w:rPr>
      <w:lvlText w:val="·"/>
    </w:lvl>
    <w:lvl w:ilvl="4">
      <w:lvlJc w:val="left"/>
      <w:numFmt w:val="bullet"/>
      <w:start w:val="1"/>
      <w:suff w:val="tab"/>
      <w:pPr>
        <w:ind w:left="4309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5">
      <w:lvlJc w:val="left"/>
      <w:numFmt w:val="bullet"/>
      <w:start w:val="1"/>
      <w:suff w:val="tab"/>
      <w:pPr>
        <w:ind w:left="5029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  <w:lvl w:ilvl="6">
      <w:lvlJc w:val="left"/>
      <w:numFmt w:val="bullet"/>
      <w:start w:val="1"/>
      <w:suff w:val="tab"/>
      <w:pPr>
        <w:ind w:left="5749" w:hanging="360"/>
        <w:rPr/>
      </w:pPr>
      <w:rPr>
        <w:shd w:val="clear" w:color="auto" w:fill="auto"/>
        <w:rFonts w:ascii="Segoe UI" w:eastAsia="Segoe UI" w:hAnsi="Segoe UI" w:cs="Segoe UI"/>
      </w:rPr>
      <w:lvlText w:val="·"/>
    </w:lvl>
    <w:lvl w:ilvl="7">
      <w:lvlJc w:val="left"/>
      <w:numFmt w:val="bullet"/>
      <w:start w:val="1"/>
      <w:suff w:val="tab"/>
      <w:pPr>
        <w:ind w:left="6469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8">
      <w:lvlJc w:val="left"/>
      <w:numFmt w:val="bullet"/>
      <w:start w:val="1"/>
      <w:suff w:val="tab"/>
      <w:pPr>
        <w:ind w:left="7189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</w:abstractNum>
  <w:abstractNum w:abstractNumId="10">
    <w:multiLevelType w:val="hybridMultilevel"/>
    <w:nsid w:val="2F00000A"/>
    <w:tmpl w:val="1F000B24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auto" w:fill="auto"/>
        <w:rFonts w:ascii="Segoe UI" w:eastAsia="Segoe UI" w:hAnsi="Segoe UI" w:cs="Segoe UI"/>
      </w:rPr>
      <w:lvlText w:val="-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auto" w:fill="auto"/>
        <w:rFonts w:ascii="Segoe UI" w:eastAsia="Segoe UI" w:hAnsi="Segoe UI" w:cs="Segoe UI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auto" w:fill="auto"/>
        <w:rFonts w:ascii="Segoe UI" w:eastAsia="Segoe UI" w:hAnsi="Segoe UI" w:cs="Segoe UI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auto" w:fill="auto"/>
        <w:rFonts w:ascii="Segoe UI" w:eastAsia="Segoe UI" w:hAnsi="Segoe UI" w:cs="Segoe UI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auto" w:fill="auto"/>
        <w:rFonts w:ascii="Segoe UI" w:eastAsia="Segoe UI" w:hAnsi="Segoe UI" w:cs="Segoe UI"/>
      </w:rPr>
      <w:lvlText w:val="§"/>
    </w:lvl>
  </w:abstractNum>
  <w:abstractNum w:abstractNumId="11">
    <w:multiLevelType w:val="hybridMultilevel"/>
    <w:nsid w:val="2F00000B"/>
    <w:tmpl w:val="1F0036F8"/>
    <w:lvl w:ilvl="0">
      <w:lvlJc w:val="left"/>
      <w:numFmt w:val="bullet"/>
      <w:start w:val="1"/>
      <w:suff w:val="tab"/>
      <w:pPr>
        <w:ind w:left="800" w:hanging="400"/>
        <w:rPr/>
      </w:pPr>
      <w:rPr>
        <w:sz w:val="26"/>
        <w:szCs w:val="26"/>
        <w:shd w:val="clear" w:color="auto" w:fill="auto"/>
        <w:rFonts w:ascii="Arial" w:eastAsia="Arial" w:hAnsi="Arial" w:cs="Arial"/>
        <w:lang w:val="ru-RU"/>
      </w:rPr>
      <w:lvlText w:val="-"/>
    </w:lvl>
    <w:lvl w:ilvl="1">
      <w:lvlJc w:val="left"/>
      <w:numFmt w:val="bullet"/>
      <w:start w:val="1"/>
      <w:suff w:val="tab"/>
      <w:pPr>
        <w:ind w:left="12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2">
      <w:lvlJc w:val="left"/>
      <w:numFmt w:val="bullet"/>
      <w:start w:val="1"/>
      <w:suff w:val="tab"/>
      <w:pPr>
        <w:ind w:left="16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3">
      <w:lvlJc w:val="left"/>
      <w:numFmt w:val="bullet"/>
      <w:start w:val="1"/>
      <w:suff w:val="tab"/>
      <w:pPr>
        <w:ind w:left="20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4">
      <w:lvlJc w:val="left"/>
      <w:numFmt w:val="bullet"/>
      <w:start w:val="1"/>
      <w:suff w:val="tab"/>
      <w:pPr>
        <w:ind w:left="24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5">
      <w:lvlJc w:val="left"/>
      <w:numFmt w:val="bullet"/>
      <w:start w:val="1"/>
      <w:suff w:val="tab"/>
      <w:pPr>
        <w:ind w:left="28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  <w:lvl w:ilvl="6">
      <w:lvlJc w:val="left"/>
      <w:numFmt w:val="bullet"/>
      <w:start w:val="1"/>
      <w:suff w:val="tab"/>
      <w:pPr>
        <w:ind w:left="3200" w:hanging="400"/>
        <w:rPr/>
      </w:pPr>
      <w:rPr>
        <w:shd w:val="clear" w:color="auto" w:fill="auto"/>
        <w:rFonts w:ascii="Wingdings" w:eastAsia="Wingdings" w:hAnsi="Wingdings" w:cs="Wingdings"/>
      </w:rPr>
      <w:lvlText w:val="l"/>
    </w:lvl>
    <w:lvl w:ilvl="7">
      <w:lvlJc w:val="left"/>
      <w:numFmt w:val="bullet"/>
      <w:start w:val="1"/>
      <w:suff w:val="tab"/>
      <w:pPr>
        <w:ind w:left="3600" w:hanging="400"/>
        <w:rPr/>
      </w:pPr>
      <w:rPr>
        <w:shd w:val="clear" w:color="auto" w:fill="auto"/>
        <w:rFonts w:ascii="Wingdings" w:eastAsia="Wingdings" w:hAnsi="Wingdings" w:cs="Wingdings"/>
      </w:rPr>
      <w:lvlText w:val="n"/>
    </w:lvl>
    <w:lvl w:ilvl="8">
      <w:lvlJc w:val="left"/>
      <w:numFmt w:val="bullet"/>
      <w:start w:val="1"/>
      <w:suff w:val="tab"/>
      <w:pPr>
        <w:ind w:left="4000" w:hanging="400"/>
        <w:rPr/>
      </w:pPr>
      <w:rPr>
        <w:shd w:val="clear" w:color="auto" w:fill="auto"/>
        <w:rFonts w:ascii="Wingdings" w:eastAsia="Wingdings" w:hAnsi="Wingdings" w:cs="Wingdings"/>
      </w:rPr>
      <w:lvlText w:val="u"/>
    </w:lvl>
  </w:abstractNum>
  <w:abstractNum w:abstractNumId="12">
    <w:multiLevelType w:val="hybridMultilevel"/>
    <w:nsid w:val="2F00000C"/>
    <w:tmpl w:val="1F002D78"/>
    <w:lvl w:ilvl="0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1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2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3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4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5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6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7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8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</w:abstractNum>
  <w:abstractNum w:abstractNumId="13">
    <w:multiLevelType w:val="hybridMultilevel"/>
    <w:nsid w:val="2F00000D"/>
    <w:tmpl w:val="1F0020DD"/>
    <w:lvl w:ilvl="0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1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2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3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4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5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6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7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8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</w:abstractNum>
  <w:abstractNum w:abstractNumId="14">
    <w:multiLevelType w:val="hybridMultilevel"/>
    <w:nsid w:val="2F00000E"/>
    <w:tmpl w:val="1F001374"/>
    <w:lvl w:ilvl="0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1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2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3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4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5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6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7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  <w:lvl w:ilvl="8">
      <w:lvlJc w:val="left"/>
      <w:numFmt w:val="bullet"/>
      <w:start w:val="1"/>
      <w:suff w:val="tab"/>
      <w:pPr>
        <w:jc w:val="both"/>
        <w:spacing w:lineRule="auto" w:line="0"/>
        <w:ind w:left="0" w:firstLine="288"/>
        <w:rPr/>
        <w:wordWrap w:val="1"/>
      </w:pPr>
      <w:rPr>
        <w:i w:val="0"/>
        <w:b w:val="0"/>
        <w:color w:val="auto"/>
        <w:sz w:val="32"/>
        <w:szCs w:val="32"/>
        <w:shd w:val="clear" w:color="auto" w:fill="auto"/>
        <w:rFonts w:ascii="Corbel" w:eastAsia="Segoe UI" w:hAnsi="Segoe UI" w:cs="Segoe UI"/>
      </w:rPr>
      <w:lvlText w:val="•"/>
    </w:lvl>
  </w:abstractNum>
  <w:abstractNum w:abstractNumId="15">
    <w:multiLevelType w:val="hybridMultilevel"/>
    <w:nsid w:val="2F00000F"/>
    <w:tmpl w:val="1F0000F5"/>
    <w:lvl w:ilvl="0">
      <w:lvlJc w:val="left"/>
      <w:numFmt w:val="decimalHalfWidth"/>
      <w:start w:val="1"/>
      <w:suff w:val="tab"/>
      <w:pPr>
        <w:ind w:left="800" w:hanging="400"/>
        <w:rPr/>
      </w:pPr>
      <w:rPr>
        <w:shd w:val="clear" w:color="auto" w:fill="auto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rPr/>
      </w:pPr>
      <w:rPr>
        <w:shd w:val="clear" w:color="auto" w:fill="auto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rPr/>
      </w:pPr>
      <w:rPr>
        <w:shd w:val="clear" w:color="auto" w:fill="auto"/>
      </w:rPr>
      <w:lvlText w:val="%3."/>
    </w:lvl>
    <w:lvl w:ilvl="3">
      <w:lvlJc w:val="left"/>
      <w:numFmt w:val="decimalHalfWidth"/>
      <w:start w:val="1"/>
      <w:suff w:val="tab"/>
      <w:pPr>
        <w:ind w:left="2000" w:hanging="400"/>
        <w:rPr/>
      </w:pPr>
      <w:rPr>
        <w:shd w:val="clear" w:color="auto" w:fill="auto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rPr/>
      </w:pPr>
      <w:rPr>
        <w:shd w:val="clear" w:color="auto" w:fill="auto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rPr/>
      </w:pPr>
      <w:rPr>
        <w:shd w:val="clear" w:color="auto" w:fill="auto"/>
      </w:rPr>
      <w:lvlText w:val="%6."/>
    </w:lvl>
    <w:lvl w:ilvl="6">
      <w:lvlJc w:val="left"/>
      <w:numFmt w:val="decimalHalfWidth"/>
      <w:start w:val="1"/>
      <w:suff w:val="tab"/>
      <w:pPr>
        <w:ind w:left="3200" w:hanging="400"/>
        <w:rPr/>
      </w:pPr>
      <w:rPr>
        <w:shd w:val="clear" w:color="auto" w:fill="auto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rPr/>
      </w:pPr>
      <w:rPr>
        <w:shd w:val="clear" w:color="auto" w:fill="auto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rPr/>
      </w:pPr>
      <w:rPr>
        <w:shd w:val="clear" w:color="auto" w:fill="auto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ko-KR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0"/>
        <w:szCs w:val="20"/>
        <w:shd w:val="clear" w:color="auto" w:fill="auto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shd w:val="clear" w:color="auto" w:fill="auto"/>
      <w:rFonts w:ascii="Segoe UI" w:eastAsia="Segoe UI" w:hAnsi="Segoe UI" w:cs="Segoe UI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  <w:shd w:val="clear" w:color="auto" w:fill="auto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BEBEBE" w:themeColor="background1" w:themeShade="BE" w:sz="4"/>
        </w:tcBorders>
      </w:tcPr>
    </w:tblStylePr>
  </w:style>
  <w:style w:styleId="PO40" w:type="table">
    <w:name w:val="Plain Table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08080" w:themeColor="text1" w:themeTint="7F" w:sz="4"/>
        </w:tcBorders>
      </w:tcPr>
    </w:tblStylePr>
  </w:style>
  <w:style w:styleId="PO41" w:type="table">
    <w:name w:val="Plain Table 3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  <w:caps w:val="1"/>
      </w:rPr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shd w:val="clear" w:color="auto" w:fill="auto"/>
        <w:caps w:val="1"/>
      </w:rPr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shd w:val="clear" w:color="auto" w:fill="auto"/>
        <w:caps w:val="1"/>
      </w:rPr>
      <w:tcPr>
        <w:tcBorders>
          <w:left w:val="nil"/>
        </w:tcBorders>
      </w:tcPr>
    </w:tblStylePr>
    <w:tblStylePr w:type="lastRow">
      <w:rPr>
        <w:b w:val="1"/>
        <w:shd w:val="clear" w:color="auto" w:fill="auto"/>
        <w:caps w:val="1"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43" w:type="table">
    <w:name w:val="Plain Table 5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1F1F1" w:themeFill="background1" w:themeFillShade="F1" w:color="000000" w:val="clear"/>
      </w:tcPr>
    </w:tblStylePr>
    <w:tblStylePr w:type="band1Vert"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styleId="PO53" w:type="table">
    <w:name w:val="Grid Table 2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styleId="PO54" w:type="table">
    <w:name w:val="Grid Table 2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styleId="PO55" w:type="table">
    <w:name w:val="Grid Table 2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styleId="PO56" w:type="table">
    <w:name w:val="Grid Table 2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styleId="PO57" w:type="table">
    <w:name w:val="Grid Table 2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styleId="PO58" w:type="table">
    <w:name w:val="Grid Table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cPr>
        <w:shd w:fill="999999" w:themeFill="text1" w:themeFillTint="66" w:color="000000" w:val="clear"/>
      </w:tcPr>
    </w:tblStylePr>
    <w:tblStylePr w:type="band1Vert"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cPr>
        <w:shd w:fill="BDD7EE" w:themeFill="accent1" w:themeFillTint="66" w:color="000000" w:val="clear"/>
      </w:tcPr>
    </w:tblStylePr>
    <w:tblStylePr w:type="band1Vert"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cPr>
        <w:shd w:fill="F8CBAD" w:themeFill="accent2" w:themeFillTint="66" w:color="000000" w:val="clear"/>
      </w:tcPr>
    </w:tblStylePr>
    <w:tblStylePr w:type="band1Vert"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cPr>
        <w:shd w:fill="DBDBDB" w:themeFill="accent3" w:themeFillTint="66" w:color="000000" w:val="clear"/>
      </w:tcPr>
    </w:tblStylePr>
    <w:tblStylePr w:type="band1Vert"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cPr>
        <w:shd w:fill="FFE699" w:themeFill="accent4" w:themeFillTint="66" w:color="000000" w:val="clear"/>
      </w:tcPr>
    </w:tblStylePr>
    <w:tblStylePr w:type="band1Vert"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cPr>
        <w:shd w:fill="B4C7E7" w:themeFill="accent5" w:themeFillTint="66" w:color="000000" w:val="clear"/>
      </w:tcPr>
    </w:tblStylePr>
    <w:tblStylePr w:type="band1Vert"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cPr>
        <w:shd w:fill="C5E0B4" w:themeFill="accent6" w:themeFillTint="66" w:color="000000" w:val="clear"/>
      </w:tcPr>
    </w:tblStylePr>
    <w:tblStylePr w:type="band1Vert"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4"/>
        </w:tcBorders>
      </w:tcPr>
    </w:tblStylePr>
  </w:style>
  <w:style w:styleId="PO81" w:type="table">
    <w:name w:val="Grid Table 6 Colorful Accent 2"/>
    <w:basedOn w:val="PO3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82" w:type="table">
    <w:name w:val="Grid Table 6 Colorful Accent 3"/>
    <w:basedOn w:val="PO3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83" w:type="table">
    <w:name w:val="Grid Table 6 Colorful Accent 4"/>
    <w:basedOn w:val="PO3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84" w:type="table">
    <w:name w:val="Grid Table 6 Colorful Accent 5"/>
    <w:basedOn w:val="PO3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4"/>
        </w:tcBorders>
      </w:tcPr>
    </w:tblStylePr>
  </w:style>
  <w:style w:styleId="PO85" w:type="table">
    <w:name w:val="Grid Table 6 Colorful Accent 6"/>
    <w:basedOn w:val="PO3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86" w:type="table">
    <w:name w:val="Grid Table 7 Colorful"/>
    <w:basedOn w:val="PO3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  <w:shd w:val="clear" w:color="auto" w:fill="auto"/>
      </w:rPr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pPr>
      <w:spacing w:lineRule="auto" w:line="240" w:after="0"/>
      <w:rPr/>
    </w:pPr>
    <w:rPr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1" w:type="table">
    <w:name w:val="List Table 2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2" w:type="table">
    <w:name w:val="List Table 2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3" w:type="table">
    <w:name w:val="List Table 2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4" w:type="table">
    <w:name w:val="List Table 2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5" w:type="table">
    <w:name w:val="List Table 2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6" w:type="table">
    <w:name w:val="List Table 2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</w:tblStylePr>
  </w:style>
  <w:style w:styleId="PO107" w:type="table">
    <w:name w:val="List Table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  <w:shd w:val="clear" w:color="auto" w:fill="auto"/>
      </w:rPr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</w:tcPr>
    </w:tblStylePr>
    <w:tblStylePr w:type="lastCol">
      <w:rPr>
        <w:b w:val="1"/>
        <w:shd w:val="clear" w:color="auto" w:fill="auto"/>
      </w:rPr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  <w:shd w:val="clear" w:color="auto" w:fill="auto"/>
      </w:rPr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pPr>
      <w:spacing w:lineRule="auto" w:line="240" w:after="0"/>
      <w:rPr/>
    </w:pPr>
    <w:rPr>
      <w:shd w:val="clear" w:color="auto" w:fill="auto"/>
    </w:r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color w:val="FFFFFF" w:themeColor="background1"/>
        <w:shd w:val="clear" w:color="auto" w:fill="auto"/>
      </w:rPr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pPr>
      <w:spacing w:lineRule="auto" w:line="240" w:after="0"/>
      <w:rPr/>
    </w:pPr>
    <w:rPr>
      <w:color w:val="FFFFFF" w:themeColor="background1"/>
      <w:shd w:val="clear" w:color="auto" w:fill="auto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  <w:shd w:val="clear" w:color="auto" w:fill="auto"/>
      </w:rPr>
      <w:tcPr>
        <w:tcBorders>
          <w:right w:val="single" w:color="FFFFFF" w:themeColor="background1" w:sz="4"/>
        </w:tcBorders>
      </w:tcPr>
    </w:tblStylePr>
    <w:tblStylePr w:type="firstRow">
      <w:rPr>
        <w:b w:val="1"/>
        <w:shd w:val="clear" w:color="auto" w:fill="auto"/>
      </w:rPr>
      <w:tcPr>
        <w:tcBorders>
          <w:bottom w:val="single" w:color="FFFFFF" w:themeColor="background1" w:sz="18"/>
        </w:tcBorders>
      </w:tcPr>
    </w:tblStylePr>
    <w:tblStylePr w:type="lastCol">
      <w:rPr>
        <w:b w:val="1"/>
        <w:shd w:val="clear" w:color="auto" w:fill="auto"/>
      </w:rPr>
      <w:tcPr>
        <w:tcBorders>
          <w:left w:val="single" w:color="FFFFFF" w:themeColor="background1" w:sz="4"/>
        </w:tcBorders>
      </w:tcPr>
    </w:tblStylePr>
    <w:tblStylePr w:type="lastRow">
      <w:rPr>
        <w:b w:val="1"/>
        <w:shd w:val="clear" w:color="auto" w:fill="auto"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000000" w:themeColor="tex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5B9BD5" w:themeColor="accent1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ED7D31" w:themeColor="accent2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A5A5A5" w:themeColor="accent3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FFC000" w:themeColor="accent4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4472C4" w:themeColor="accent5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rPr>
        <w:b w:val="1"/>
        <w:shd w:val="clear" w:color="auto" w:fill="auto"/>
      </w:rPr>
    </w:tblStylePr>
    <w:tblStylePr w:type="firstRow">
      <w:rPr>
        <w:b w:val="1"/>
        <w:shd w:val="clear" w:color="auto" w:fill="auto"/>
      </w:rPr>
      <w:tcPr>
        <w:tcBorders>
          <w:bottom w:val="single" w:color="70AD47" w:themeColor="accent6" w:sz="4"/>
        </w:tcBorders>
      </w:tcPr>
    </w:tblStylePr>
    <w:tblStylePr w:type="lastCol">
      <w:rPr>
        <w:b w:val="1"/>
        <w:shd w:val="clear" w:color="auto" w:fill="auto"/>
      </w:rPr>
    </w:tblStylePr>
    <w:tblStylePr w:type="lastRow">
      <w:rPr>
        <w:b w:val="1"/>
        <w:shd w:val="clear" w:color="auto" w:fill="auto"/>
      </w:rPr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pPr>
      <w:spacing w:lineRule="auto" w:line="240" w:after="0"/>
      <w:rPr/>
    </w:pPr>
    <w:rPr>
      <w:color w:val="000000" w:themeColor="tex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000000" w:val="clear"/>
      </w:tcPr>
    </w:tblStylePr>
    <w:tblStylePr w:type="band1Vert"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pPr>
      <w:spacing w:lineRule="auto" w:line="240" w:after="0"/>
      <w:rPr/>
    </w:pPr>
    <w:rPr>
      <w:color w:val="2E74B4" w:themeColor="accent1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000000" w:val="clear"/>
      </w:tcPr>
    </w:tblStylePr>
    <w:tblStylePr w:type="band1Vert"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pPr>
      <w:spacing w:lineRule="auto" w:line="240" w:after="0"/>
      <w:rPr/>
    </w:pPr>
    <w:rPr>
      <w:color w:val="C35911" w:themeColor="accent2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000000" w:val="clear"/>
      </w:tcPr>
    </w:tblStylePr>
    <w:tblStylePr w:type="band1Vert"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pPr>
      <w:spacing w:lineRule="auto" w:line="240" w:after="0"/>
      <w:rPr/>
    </w:pPr>
    <w:rPr>
      <w:color w:val="7A7A7A" w:themeColor="accent3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000000" w:val="clear"/>
      </w:tcPr>
    </w:tblStylePr>
    <w:tblStylePr w:type="band1Vert"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pPr>
      <w:spacing w:lineRule="auto" w:line="240" w:after="0"/>
      <w:rPr/>
    </w:pPr>
    <w:rPr>
      <w:color w:val="BE8F00" w:themeColor="accent4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000000" w:val="clear"/>
      </w:tcPr>
    </w:tblStylePr>
    <w:tblStylePr w:type="band1Vert"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pPr>
      <w:spacing w:lineRule="auto" w:line="240" w:after="0"/>
      <w:rPr/>
    </w:pPr>
    <w:rPr>
      <w:color w:val="2F5395" w:themeColor="accent5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000000" w:val="clear"/>
      </w:tcPr>
    </w:tblStylePr>
    <w:tblStylePr w:type="band1Vert"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pPr>
      <w:spacing w:lineRule="auto" w:line="240" w:after="0"/>
      <w:rPr/>
    </w:pPr>
    <w:rPr>
      <w:color w:val="538034" w:themeColor="accent6" w:themeShade="BE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000000" w:val="clear"/>
      </w:tcPr>
    </w:tblStylePr>
    <w:tblStylePr w:type="band1Vert"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  <w:shd w:val="clear" w:color="auto" w:fill="auto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  <w:shd w:val="clear" w:color="auto" w:fill="auto"/>
      </w:rPr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42" w:type="table">
    <w:name w:val="Calendar1"/>
    <w:basedOn w:val="PO3"/>
    <w:pPr>
      <w:jc w:val="left"/>
      <w:spacing w:lineRule="auto" w:line="240" w:after="0"/>
      <w:rPr/>
    </w:pPr>
    <w:rPr>
      <w:sz w:val="22"/>
      <w:szCs w:val="22"/>
      <w:shd w:val="clear" w:color="auto" w:fill="auto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val="nil"/>
    </w:tcPr>
    <w:tblStylePr w:type="band1Horz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  <w:shd w:val="clear" w:color="auto" w:fill="auto"/>
      </w:rPr>
      <w:tcPr>
        <w:vAlign w:val="bottom"/>
      </w:tcPr>
    </w:tblStylePr>
    <w:tblStylePr w:type="lastRow"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6</Pages>
  <Paragraphs>0</Paragraphs>
  <Words>244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HP</cp:lastModifiedBy>
  <cp:version>9.104.123.46490</cp:version>
</cp:coreProperties>
</file>