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F198" w14:textId="77777777" w:rsidR="00033B3C" w:rsidRPr="00033B3C" w:rsidRDefault="00033B3C" w:rsidP="00033B3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33B3C">
        <w:rPr>
          <w:rFonts w:ascii="Times New Roman" w:hAnsi="Times New Roman" w:cs="Times New Roman"/>
          <w:b/>
          <w:sz w:val="20"/>
          <w:szCs w:val="20"/>
        </w:rPr>
        <w:t>Додаток 3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9214"/>
      </w:tblGrid>
      <w:tr w:rsidR="00033B3C" w:rsidRPr="00A71D92" w14:paraId="7168A1FC" w14:textId="77777777" w:rsidTr="003A34A2">
        <w:tc>
          <w:tcPr>
            <w:tcW w:w="6096" w:type="dxa"/>
            <w:vMerge w:val="restart"/>
          </w:tcPr>
          <w:p w14:paraId="191A2B23" w14:textId="77777777" w:rsidR="00033B3C" w:rsidRPr="00A71D92" w:rsidRDefault="00033B3C" w:rsidP="003A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F540A03" wp14:editId="2610D395">
                  <wp:extent cx="1009934" cy="1019935"/>
                  <wp:effectExtent l="0" t="0" r="0" b="8890"/>
                  <wp:docPr id="1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1BF5AC2B" w14:textId="77777777" w:rsidR="00033B3C" w:rsidRPr="00033B3C" w:rsidRDefault="00033B3C" w:rsidP="003A34A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 xml:space="preserve">СИЛАБУС ДИСЦИПЛІНИ </w:t>
            </w:r>
          </w:p>
          <w:p w14:paraId="3ADAA7EA" w14:textId="77777777" w:rsidR="00033B3C" w:rsidRPr="00033B3C" w:rsidRDefault="00033B3C" w:rsidP="003A34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«Аналіз господарської діяльності»</w:t>
            </w:r>
          </w:p>
        </w:tc>
      </w:tr>
      <w:tr w:rsidR="00033B3C" w:rsidRPr="00A71D92" w14:paraId="066F71B1" w14:textId="77777777" w:rsidTr="003A34A2">
        <w:tc>
          <w:tcPr>
            <w:tcW w:w="6096" w:type="dxa"/>
            <w:vMerge/>
          </w:tcPr>
          <w:p w14:paraId="561B228D" w14:textId="77777777" w:rsidR="00033B3C" w:rsidRPr="00A71D92" w:rsidRDefault="00033B3C" w:rsidP="003A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A096B8A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Ступінь вищої освіти - Бакалавр</w:t>
            </w:r>
          </w:p>
        </w:tc>
      </w:tr>
      <w:tr w:rsidR="00033B3C" w:rsidRPr="00A71D92" w14:paraId="61A89375" w14:textId="77777777" w:rsidTr="003A34A2">
        <w:tc>
          <w:tcPr>
            <w:tcW w:w="6096" w:type="dxa"/>
            <w:vMerge/>
          </w:tcPr>
          <w:p w14:paraId="7C693DA2" w14:textId="77777777" w:rsidR="00033B3C" w:rsidRPr="00A71D92" w:rsidRDefault="00033B3C" w:rsidP="003A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C6E61BD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Спеціальність </w:t>
            </w:r>
            <w:r w:rsidRPr="00033B3C">
              <w:rPr>
                <w:rFonts w:ascii="Times New Roman" w:hAnsi="Times New Roman" w:cs="Times New Roman"/>
                <w:b/>
                <w:color w:val="000000"/>
                <w:spacing w:val="4"/>
                <w:sz w:val="20"/>
                <w:szCs w:val="20"/>
              </w:rPr>
              <w:t>071 – Облік і оподаткування</w:t>
            </w:r>
          </w:p>
        </w:tc>
      </w:tr>
      <w:tr w:rsidR="00033B3C" w:rsidRPr="00A71D92" w14:paraId="6A99268A" w14:textId="77777777" w:rsidTr="003A34A2">
        <w:tc>
          <w:tcPr>
            <w:tcW w:w="6096" w:type="dxa"/>
            <w:vMerge/>
          </w:tcPr>
          <w:p w14:paraId="1B2DDCD4" w14:textId="77777777" w:rsidR="00033B3C" w:rsidRPr="00A71D92" w:rsidRDefault="00033B3C" w:rsidP="003A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497D6504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Освітня програма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Облік і аудит</w:t>
            </w:r>
          </w:p>
        </w:tc>
      </w:tr>
      <w:tr w:rsidR="00033B3C" w:rsidRPr="00A71D92" w14:paraId="42AE5A00" w14:textId="77777777" w:rsidTr="003A34A2">
        <w:tc>
          <w:tcPr>
            <w:tcW w:w="6096" w:type="dxa"/>
            <w:vMerge/>
          </w:tcPr>
          <w:p w14:paraId="10685F0B" w14:textId="77777777" w:rsidR="00033B3C" w:rsidRPr="00A71D92" w:rsidRDefault="00033B3C" w:rsidP="003A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0F12D37C" w14:textId="7A1DD46D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Рік навчання 20</w:t>
            </w:r>
            <w:r w:rsidR="0047537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/2</w:t>
            </w:r>
            <w:r w:rsidR="004753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семестр 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</w:p>
          <w:p w14:paraId="6047EF25" w14:textId="7C159E3C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навчання 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денна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33B3C">
              <w:rPr>
                <w:rFonts w:ascii="Times New Roman" w:hAnsi="Times New Roman" w:cs="Times New Roman"/>
                <w:sz w:val="20"/>
                <w:szCs w:val="20"/>
              </w:rPr>
              <w:t>(денна</w:t>
            </w:r>
            <w:r w:rsidR="00475372">
              <w:rPr>
                <w:rFonts w:ascii="Times New Roman" w:hAnsi="Times New Roman" w:cs="Times New Roman"/>
                <w:sz w:val="20"/>
                <w:szCs w:val="20"/>
              </w:rPr>
              <w:t>, ст.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33B3C" w:rsidRPr="00A71D92" w14:paraId="4F099040" w14:textId="77777777" w:rsidTr="003A34A2">
        <w:tc>
          <w:tcPr>
            <w:tcW w:w="6096" w:type="dxa"/>
            <w:vMerge/>
          </w:tcPr>
          <w:p w14:paraId="35BF79A2" w14:textId="77777777" w:rsidR="00033B3C" w:rsidRPr="00A71D92" w:rsidRDefault="00033B3C" w:rsidP="003A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0DAA0835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кредитів ЄКТС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3</w:t>
            </w:r>
          </w:p>
        </w:tc>
      </w:tr>
      <w:tr w:rsidR="00033B3C" w:rsidRPr="00A71D92" w14:paraId="3472CCC9" w14:textId="77777777" w:rsidTr="003A34A2">
        <w:tc>
          <w:tcPr>
            <w:tcW w:w="6096" w:type="dxa"/>
            <w:vMerge/>
          </w:tcPr>
          <w:p w14:paraId="3CEFCD87" w14:textId="77777777" w:rsidR="00033B3C" w:rsidRPr="00A71D92" w:rsidRDefault="00033B3C" w:rsidP="003A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56AC8B8F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Мова викладання </w:t>
            </w:r>
            <w:r w:rsidRPr="00033B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українська</w:t>
            </w:r>
            <w:r w:rsidRPr="00033B3C">
              <w:rPr>
                <w:rFonts w:ascii="Times New Roman" w:hAnsi="Times New Roman" w:cs="Times New Roman"/>
                <w:sz w:val="20"/>
                <w:szCs w:val="20"/>
              </w:rPr>
              <w:t>__(українська, англійська, німецька)</w:t>
            </w:r>
          </w:p>
        </w:tc>
      </w:tr>
      <w:tr w:rsidR="00033B3C" w:rsidRPr="00A71D92" w14:paraId="600FFDC4" w14:textId="77777777" w:rsidTr="003A34A2">
        <w:tc>
          <w:tcPr>
            <w:tcW w:w="6096" w:type="dxa"/>
          </w:tcPr>
          <w:p w14:paraId="3326FAB6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Лектор курсу</w:t>
            </w:r>
          </w:p>
        </w:tc>
        <w:tc>
          <w:tcPr>
            <w:tcW w:w="9214" w:type="dxa"/>
          </w:tcPr>
          <w:p w14:paraId="796CDABA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к.е.н., доцент Куць Тетяна Валеріївна</w:t>
            </w:r>
          </w:p>
        </w:tc>
      </w:tr>
      <w:tr w:rsidR="00033B3C" w:rsidRPr="00A71D92" w14:paraId="41FA9E54" w14:textId="77777777" w:rsidTr="003A34A2">
        <w:tc>
          <w:tcPr>
            <w:tcW w:w="6096" w:type="dxa"/>
          </w:tcPr>
          <w:p w14:paraId="60872D21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 інформація лектора (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9214" w:type="dxa"/>
          </w:tcPr>
          <w:p w14:paraId="3CDB3E87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tetyana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_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kuts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@nubip.edu.ua</w:t>
            </w:r>
          </w:p>
        </w:tc>
      </w:tr>
      <w:tr w:rsidR="00033B3C" w:rsidRPr="00A71D92" w14:paraId="410F3B57" w14:textId="77777777" w:rsidTr="003A34A2">
        <w:tc>
          <w:tcPr>
            <w:tcW w:w="6096" w:type="dxa"/>
          </w:tcPr>
          <w:p w14:paraId="4698DBD3" w14:textId="77777777" w:rsidR="00033B3C" w:rsidRPr="00033B3C" w:rsidRDefault="00033B3C" w:rsidP="003A34A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33B3C">
              <w:rPr>
                <w:rFonts w:ascii="Times New Roman" w:hAnsi="Times New Roman" w:cs="Times New Roman"/>
                <w:b/>
                <w:sz w:val="20"/>
                <w:szCs w:val="20"/>
              </w:rPr>
              <w:t>Сторінка курсу в</w:t>
            </w:r>
            <w:r w:rsidRPr="00033B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eLearn </w:t>
            </w:r>
          </w:p>
        </w:tc>
        <w:tc>
          <w:tcPr>
            <w:tcW w:w="9214" w:type="dxa"/>
          </w:tcPr>
          <w:p w14:paraId="71360949" w14:textId="77777777" w:rsidR="00033B3C" w:rsidRPr="00033B3C" w:rsidRDefault="00033B3C" w:rsidP="003A34A2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033B3C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>https://elearn.nubip.edu.ua/course/view.php?id=</w:t>
            </w:r>
            <w:hyperlink r:id="rId6" w:history="1">
              <w:r w:rsidRPr="00033B3C">
                <w:rPr>
                  <w:rFonts w:ascii="Times New Roman" w:hAnsi="Times New Roman" w:cs="Times New Roman"/>
                  <w:color w:val="365F91" w:themeColor="accent1" w:themeShade="BF"/>
                  <w:sz w:val="20"/>
                  <w:szCs w:val="20"/>
                  <w:u w:val="single"/>
                </w:rPr>
                <w:t>962</w:t>
              </w:r>
            </w:hyperlink>
          </w:p>
        </w:tc>
      </w:tr>
    </w:tbl>
    <w:p w14:paraId="00646255" w14:textId="77777777" w:rsidR="00EC07A1" w:rsidRPr="003655FE" w:rsidRDefault="00581698" w:rsidP="00EB48D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3655FE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ОПИС ДИСЦИПЛІНИ</w:t>
      </w:r>
    </w:p>
    <w:p w14:paraId="261D15AC" w14:textId="77777777" w:rsidR="00A71D92" w:rsidRDefault="00A71D92" w:rsidP="00EB48D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14:paraId="44D52334" w14:textId="77777777" w:rsidR="00033B3C" w:rsidRPr="00465A47" w:rsidRDefault="00033B3C" w:rsidP="00033B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5A47">
        <w:rPr>
          <w:rFonts w:ascii="Times New Roman" w:hAnsi="Times New Roman" w:cs="Times New Roman"/>
          <w:b/>
          <w:iCs/>
          <w:spacing w:val="-5"/>
          <w:sz w:val="20"/>
          <w:szCs w:val="20"/>
        </w:rPr>
        <w:t xml:space="preserve">Метою </w:t>
      </w:r>
      <w:r w:rsidRPr="00465A47">
        <w:rPr>
          <w:rFonts w:ascii="Times New Roman" w:hAnsi="Times New Roman" w:cs="Times New Roman"/>
          <w:b/>
          <w:spacing w:val="-5"/>
          <w:sz w:val="20"/>
          <w:szCs w:val="20"/>
        </w:rPr>
        <w:t>вивчення дисципліни «Аналіз господарської діяльності»</w:t>
      </w:r>
      <w:r w:rsidRPr="00465A47">
        <w:rPr>
          <w:rFonts w:ascii="Times New Roman" w:hAnsi="Times New Roman" w:cs="Times New Roman"/>
          <w:spacing w:val="-5"/>
          <w:sz w:val="20"/>
          <w:szCs w:val="20"/>
        </w:rPr>
        <w:t xml:space="preserve"> є</w:t>
      </w:r>
      <w:r w:rsidRPr="00465A47">
        <w:rPr>
          <w:rFonts w:ascii="Times New Roman" w:hAnsi="Times New Roman" w:cs="Times New Roman"/>
          <w:sz w:val="20"/>
          <w:szCs w:val="20"/>
        </w:rPr>
        <w:t xml:space="preserve"> </w:t>
      </w:r>
      <w:r w:rsidRPr="00465A47">
        <w:rPr>
          <w:rFonts w:ascii="Times New Roman" w:hAnsi="Times New Roman" w:cs="Times New Roman"/>
          <w:color w:val="000000"/>
          <w:sz w:val="20"/>
          <w:szCs w:val="20"/>
        </w:rPr>
        <w:t>формування у студентів сучасного аналітичного мислення та системи спеціальних знань в галузі теорії та методології аналізу господарської діяльності.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5A47">
        <w:rPr>
          <w:rFonts w:ascii="Times New Roman" w:hAnsi="Times New Roman" w:cs="Times New Roman"/>
          <w:color w:val="000000"/>
          <w:sz w:val="20"/>
          <w:szCs w:val="20"/>
        </w:rPr>
        <w:t>Вивчення дисципліни надає комплексне розкриття сутності та значення аналізу стану суб'єктів господарювання; формування чіткого уявлення про зміст фінансово-господарської діяльності в умовах ринкової економіки, причинно-наслідкові взаємозв'язки економічних явищ та фінансових процесів, структуру інформаційного забезпечення менеджменту;</w:t>
      </w:r>
      <w:r w:rsidRPr="00465A47">
        <w:rPr>
          <w:rFonts w:ascii="Times New Roman" w:hAnsi="Times New Roman" w:cs="Times New Roman"/>
          <w:sz w:val="20"/>
          <w:szCs w:val="20"/>
        </w:rPr>
        <w:t xml:space="preserve"> </w:t>
      </w:r>
      <w:r w:rsidRPr="00465A47">
        <w:rPr>
          <w:rFonts w:ascii="Times New Roman" w:hAnsi="Times New Roman" w:cs="Times New Roman"/>
          <w:color w:val="000000"/>
          <w:sz w:val="20"/>
          <w:szCs w:val="20"/>
        </w:rPr>
        <w:t>набуття навичок аналітичного обґрунтування управлінських рішень з розв'язання практичних ситуацій;</w:t>
      </w:r>
      <w:r w:rsidRPr="00465A47">
        <w:rPr>
          <w:rFonts w:ascii="Times New Roman" w:hAnsi="Times New Roman" w:cs="Times New Roman"/>
          <w:sz w:val="20"/>
          <w:szCs w:val="20"/>
        </w:rPr>
        <w:t xml:space="preserve"> </w:t>
      </w:r>
      <w:r w:rsidRPr="00465A47">
        <w:rPr>
          <w:rFonts w:ascii="Times New Roman" w:hAnsi="Times New Roman" w:cs="Times New Roman"/>
          <w:color w:val="000000"/>
          <w:sz w:val="20"/>
          <w:szCs w:val="20"/>
        </w:rPr>
        <w:t>оволодіння навичками організації та проведення аналізу господарської діяльності.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5A47">
        <w:rPr>
          <w:rFonts w:ascii="Times New Roman" w:hAnsi="Times New Roman" w:cs="Times New Roman"/>
          <w:sz w:val="20"/>
          <w:szCs w:val="20"/>
        </w:rPr>
        <w:t>Знання, здобуті під час вивчення дисципліни «Аналіз господарської діяльності» допоможуть майбутньому фахівцю правильно оцінювати стан об'єкту обліку та стратегію його розвитку, визначати ефективність використання фінансових, трудових і матеріальних ресурсів, аналітичним шляхом встановлювати недоліки у ході господарської діяльності та обґрунтовувати способи їх усунення.</w:t>
      </w:r>
    </w:p>
    <w:p w14:paraId="3FB46133" w14:textId="77777777" w:rsidR="00033B3C" w:rsidRPr="00465A47" w:rsidRDefault="00033B3C" w:rsidP="00033B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6F4">
        <w:rPr>
          <w:rFonts w:ascii="Times New Roman" w:hAnsi="Times New Roman" w:cs="Times New Roman"/>
          <w:sz w:val="20"/>
          <w:szCs w:val="20"/>
        </w:rPr>
        <w:t>Результатом вивчення дисципліни є набуття студентами</w:t>
      </w:r>
      <w:r w:rsidRPr="004F66F4">
        <w:rPr>
          <w:rStyle w:val="aa"/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1B24DA">
        <w:rPr>
          <w:rStyle w:val="aa"/>
          <w:rFonts w:ascii="Times New Roman" w:eastAsia="TimesNewRomanPSMT" w:hAnsi="Times New Roman" w:cs="Times New Roman"/>
          <w:sz w:val="20"/>
          <w:szCs w:val="20"/>
        </w:rPr>
        <w:t xml:space="preserve">загальних </w:t>
      </w:r>
      <w:r w:rsidRPr="001B24DA">
        <w:rPr>
          <w:rStyle w:val="aa"/>
          <w:rFonts w:ascii="Times New Roman" w:hAnsi="Times New Roman" w:cs="Times New Roman"/>
          <w:sz w:val="20"/>
          <w:szCs w:val="20"/>
        </w:rPr>
        <w:t>компетентностей</w:t>
      </w:r>
      <w:r w:rsidRPr="004F66F4">
        <w:rPr>
          <w:rStyle w:val="aa"/>
          <w:rFonts w:ascii="Times New Roman" w:hAnsi="Times New Roman" w:cs="Times New Roman"/>
          <w:i w:val="0"/>
          <w:iCs w:val="0"/>
          <w:sz w:val="20"/>
          <w:szCs w:val="20"/>
        </w:rPr>
        <w:t>:</w:t>
      </w:r>
      <w:r>
        <w:rPr>
          <w:rStyle w:val="aa"/>
          <w:rFonts w:ascii="Times New Roman" w:hAnsi="Times New Roman" w:cs="Times New Roman"/>
          <w:i w:val="0"/>
          <w:iCs w:val="0"/>
          <w:sz w:val="20"/>
          <w:szCs w:val="20"/>
        </w:rPr>
        <w:t xml:space="preserve"> з</w:t>
      </w:r>
      <w:r w:rsidRPr="00465A47">
        <w:rPr>
          <w:rFonts w:ascii="Times New Roman" w:hAnsi="Times New Roman" w:cs="Times New Roman"/>
          <w:color w:val="000000"/>
          <w:sz w:val="20"/>
          <w:szCs w:val="20"/>
        </w:rPr>
        <w:t>датність вчитися та бути готовим до засвоєння та застосування набутих знань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465A47">
        <w:rPr>
          <w:rFonts w:ascii="Times New Roman" w:hAnsi="Times New Roman" w:cs="Times New Roman"/>
          <w:color w:val="000000"/>
          <w:sz w:val="20"/>
          <w:szCs w:val="20"/>
        </w:rPr>
        <w:t>Здатність до аналізу та синтезу як інструментарію виявлення проблем та прийняття рішень для їх розв’язання на основі логічних аргументів та перевірених фактів. Здатність працювати самостійно та в команді з урахуванням вимог професійної дисципліни, планування та управління часом. Здатність діяти на основі етичних міркувань (мотивів). Здатність бути критичним та самокритичним. Здатність до гнучкого мислення та компетентного застосування набутих знань в професійній діяльності. Здатність спілкуватися державною та іноземними мовами як усно, так і письмово. Навички використання сучасних інформаційних та комунікаційних технологій. Здатність презентувати результати проведених досліджень.</w:t>
      </w:r>
    </w:p>
    <w:p w14:paraId="0601BD2B" w14:textId="77777777" w:rsidR="00033B3C" w:rsidRDefault="00033B3C" w:rsidP="009945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9945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Спеціальні (фахові, предметні) компетентності:</w:t>
      </w:r>
      <w:r w:rsidR="009945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465A47">
        <w:rPr>
          <w:rFonts w:ascii="Times New Roman" w:hAnsi="Times New Roman" w:cs="Times New Roman"/>
          <w:color w:val="000000"/>
          <w:sz w:val="20"/>
          <w:szCs w:val="20"/>
        </w:rPr>
        <w:t>Здатність досліджувати тенденції розвитку економіки за допомогою інструментарію макро- та мікроекономічного аналізу, робити узагальнення стосовно оцінки прояву окремих явищ, які властиві сучасним процесам в економіці. Здатність формувати обліково-аналітичну інформацію для ефективного управління діяльністю підприємства. Здатність використовувати математичний інструментарій для дослідження економічних процесів, розв’язання прикладних економічних та оптимізаційних завдань в сфері обліку, аудиті та оподаткуванні. Здатність до відображення відомостей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 Здатність проводити аналіз господарської діяльності підприємства та фінансовий аналіз з метою прийняття управлінських рішень. Здатність застосовувати та формувати інформаційну підтримку управління підприємством з використанням сучасного технічного та методичного інструментарію</w:t>
      </w:r>
    </w:p>
    <w:p w14:paraId="0BC2D3B8" w14:textId="77777777" w:rsidR="00EC07A1" w:rsidRPr="003655FE" w:rsidRDefault="00F82151" w:rsidP="003655F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3655FE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СТРУКТУРА КУРСУ</w:t>
      </w:r>
    </w:p>
    <w:tbl>
      <w:tblPr>
        <w:tblStyle w:val="a3"/>
        <w:tblW w:w="158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1134"/>
        <w:gridCol w:w="5528"/>
        <w:gridCol w:w="2127"/>
        <w:gridCol w:w="43"/>
        <w:gridCol w:w="2225"/>
        <w:gridCol w:w="43"/>
        <w:gridCol w:w="26"/>
      </w:tblGrid>
      <w:tr w:rsidR="001B2399" w:rsidRPr="003655FE" w14:paraId="7CE8C5F7" w14:textId="77777777" w:rsidTr="007A5FD6">
        <w:trPr>
          <w:gridAfter w:val="2"/>
          <w:wAfter w:w="69" w:type="dxa"/>
        </w:trPr>
        <w:tc>
          <w:tcPr>
            <w:tcW w:w="4679" w:type="dxa"/>
            <w:vAlign w:val="center"/>
          </w:tcPr>
          <w:p w14:paraId="4C40FD0E" w14:textId="77777777" w:rsidR="00EC07A1" w:rsidRPr="003655FE" w:rsidRDefault="00EC07A1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Align w:val="center"/>
          </w:tcPr>
          <w:p w14:paraId="7438D94D" w14:textId="77777777" w:rsidR="00EC07A1" w:rsidRPr="003655FE" w:rsidRDefault="00EC07A1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43F5494C" w14:textId="77777777" w:rsidR="00EC07A1" w:rsidRPr="00451704" w:rsidRDefault="00EC07A1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(лекції/ практичні)</w:t>
            </w:r>
          </w:p>
        </w:tc>
        <w:tc>
          <w:tcPr>
            <w:tcW w:w="5528" w:type="dxa"/>
            <w:vAlign w:val="center"/>
          </w:tcPr>
          <w:p w14:paraId="3409B8DC" w14:textId="77777777" w:rsidR="00EC07A1" w:rsidRPr="003655FE" w:rsidRDefault="00EC07A1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127" w:type="dxa"/>
            <w:vAlign w:val="center"/>
          </w:tcPr>
          <w:p w14:paraId="74059800" w14:textId="77777777" w:rsidR="00EC07A1" w:rsidRPr="003655FE" w:rsidRDefault="00ED3451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268" w:type="dxa"/>
            <w:gridSpan w:val="2"/>
            <w:vAlign w:val="center"/>
          </w:tcPr>
          <w:p w14:paraId="15A52E2A" w14:textId="77777777" w:rsidR="00EC07A1" w:rsidRPr="003655FE" w:rsidRDefault="00ED3451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544D46" w:rsidRPr="00451704" w14:paraId="4D806356" w14:textId="77777777" w:rsidTr="007A5FD6">
        <w:tc>
          <w:tcPr>
            <w:tcW w:w="15805" w:type="dxa"/>
            <w:gridSpan w:val="8"/>
          </w:tcPr>
          <w:p w14:paraId="08FF843A" w14:textId="77777777" w:rsidR="00544D46" w:rsidRPr="00451704" w:rsidRDefault="00544D46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Модуль 1</w:t>
            </w:r>
          </w:p>
        </w:tc>
      </w:tr>
      <w:tr w:rsidR="001B2399" w:rsidRPr="003655FE" w14:paraId="21C3EE38" w14:textId="77777777" w:rsidTr="007A5FD6">
        <w:trPr>
          <w:gridAfter w:val="2"/>
          <w:wAfter w:w="69" w:type="dxa"/>
        </w:trPr>
        <w:tc>
          <w:tcPr>
            <w:tcW w:w="4679" w:type="dxa"/>
          </w:tcPr>
          <w:p w14:paraId="516FB1E8" w14:textId="77777777" w:rsidR="001B24DA" w:rsidRPr="00994583" w:rsidRDefault="00994583" w:rsidP="00994583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583">
              <w:rPr>
                <w:rFonts w:ascii="Times New Roman" w:hAnsi="Times New Roman" w:cs="Times New Roman"/>
                <w:sz w:val="20"/>
                <w:szCs w:val="20"/>
              </w:rPr>
              <w:t>Тема 1. Аналіз господарської діяльності як функція управління економічним суб’єктом</w:t>
            </w:r>
          </w:p>
          <w:p w14:paraId="4508FF0D" w14:textId="77777777" w:rsidR="00994583" w:rsidRPr="00994583" w:rsidRDefault="00994583" w:rsidP="00994583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583">
              <w:rPr>
                <w:rFonts w:ascii="Times New Roman" w:hAnsi="Times New Roman" w:cs="Times New Roman"/>
                <w:sz w:val="20"/>
                <w:szCs w:val="20"/>
              </w:rPr>
              <w:t xml:space="preserve">Тема 2. Метод та інструментарій аналізу </w:t>
            </w:r>
            <w:r w:rsidRPr="0099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господарської діяльності</w:t>
            </w:r>
          </w:p>
          <w:p w14:paraId="052D7389" w14:textId="77777777" w:rsidR="00994583" w:rsidRPr="003655FE" w:rsidRDefault="00994583" w:rsidP="0099458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5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 3. Організаційно-інформаційне забезпечення аналітичної роботи економічних суб</w:t>
            </w:r>
            <w:r w:rsidRPr="0099458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9945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134" w:type="dxa"/>
          </w:tcPr>
          <w:p w14:paraId="3BB61221" w14:textId="77411F32" w:rsidR="00544D46" w:rsidRPr="003655FE" w:rsidRDefault="00475372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051F3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2E26124" w14:textId="77777777" w:rsidR="001B24DA" w:rsidRPr="003655FE" w:rsidRDefault="001B24DA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58429" w14:textId="2A09A202" w:rsidR="001B24DA" w:rsidRPr="003655FE" w:rsidRDefault="00475372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24DA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B9BE9D1" w14:textId="77777777" w:rsidR="001B24DA" w:rsidRPr="003655FE" w:rsidRDefault="001B24DA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5D75B" w14:textId="0C85B61F" w:rsidR="001B24DA" w:rsidRPr="003655FE" w:rsidRDefault="00475372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24DA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903B57E" w14:textId="77777777" w:rsidR="00A74912" w:rsidRPr="003655FE" w:rsidRDefault="00A74912" w:rsidP="00E814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E569125" w14:textId="77777777" w:rsidR="00B60231" w:rsidRPr="003655FE" w:rsidRDefault="00544D46" w:rsidP="00FB2DCA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Знати </w:t>
            </w:r>
            <w:r w:rsidR="001B2399" w:rsidRPr="003655FE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  <w:r w:rsidR="001B24DA"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 аналізу</w:t>
            </w:r>
            <w:r w:rsidR="00994583">
              <w:rPr>
                <w:rFonts w:ascii="Times New Roman" w:hAnsi="Times New Roman" w:cs="Times New Roman"/>
                <w:sz w:val="20"/>
                <w:szCs w:val="20"/>
              </w:rPr>
              <w:t xml:space="preserve"> господарської діяльності</w:t>
            </w:r>
            <w:r w:rsidR="002F768E"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4DA"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2F768E" w:rsidRPr="003655FE">
              <w:rPr>
                <w:rFonts w:ascii="Times New Roman" w:hAnsi="Times New Roman" w:cs="Times New Roman"/>
                <w:sz w:val="20"/>
                <w:szCs w:val="20"/>
              </w:rPr>
              <w:t>обґрунтуванні</w:t>
            </w:r>
            <w:r w:rsidR="001B24DA"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управлінських рішень</w:t>
            </w:r>
            <w:r w:rsidR="001B2399" w:rsidRPr="00365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0231"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 Вміти аналізувати основні показники інформаційного забезпечення аналізу</w:t>
            </w:r>
            <w:r w:rsidR="00994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господарської діяльності</w:t>
            </w:r>
            <w:r w:rsidR="00B60231" w:rsidRPr="00365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B0145" w14:textId="77777777" w:rsidR="001B2399" w:rsidRPr="003655FE" w:rsidRDefault="00B60231" w:rsidP="00FB2DCA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Розуміти о</w:t>
            </w:r>
            <w:r w:rsidR="001B2399" w:rsidRPr="003655FE">
              <w:rPr>
                <w:rFonts w:ascii="Times New Roman" w:hAnsi="Times New Roman" w:cs="Times New Roman"/>
                <w:sz w:val="20"/>
                <w:szCs w:val="20"/>
              </w:rPr>
              <w:t>б’єкт, предмет, цілі, завдання та структур</w:t>
            </w: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B2399"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 курсу. Місце і значення курсу серед дисциплін фундаментальної підготовки бакалаврів з </w:t>
            </w:r>
            <w:r w:rsidR="00994583">
              <w:rPr>
                <w:rFonts w:ascii="Times New Roman" w:hAnsi="Times New Roman" w:cs="Times New Roman"/>
                <w:sz w:val="20"/>
                <w:szCs w:val="20"/>
              </w:rPr>
              <w:t>обліку</w:t>
            </w:r>
            <w:r w:rsidR="001B2399" w:rsidRPr="00365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3CA330" w14:textId="77777777" w:rsidR="00544D46" w:rsidRPr="003655FE" w:rsidRDefault="001B2399" w:rsidP="00FB2DC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Вміти</w:t>
            </w:r>
            <w:r w:rsidR="00994583">
              <w:rPr>
                <w:rFonts w:ascii="Times New Roman" w:hAnsi="Times New Roman" w:cs="Times New Roman"/>
                <w:sz w:val="20"/>
                <w:szCs w:val="20"/>
              </w:rPr>
              <w:t xml:space="preserve"> застосовувати методичний інструментарій аналізу.</w:t>
            </w:r>
            <w:r w:rsidR="002F768E"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684D2A39" w14:textId="77777777" w:rsidR="00544D46" w:rsidRPr="003655FE" w:rsidRDefault="00544D46" w:rsidP="00FB2DCA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Здача практичної роботи.</w:t>
            </w:r>
          </w:p>
          <w:p w14:paraId="7359B8FA" w14:textId="77777777" w:rsidR="00544D46" w:rsidRPr="003655FE" w:rsidRDefault="00544D46" w:rsidP="00FB2DCA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Написання тестів, </w:t>
            </w:r>
            <w:r w:rsidRPr="00365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ессе.</w:t>
            </w:r>
            <w:r w:rsidR="00994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Виконання самостійної роботи (в.т.ч. в</w:t>
            </w:r>
            <w:r w:rsidRPr="00365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65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1A3AB7" w14:textId="77777777" w:rsidR="00544D46" w:rsidRPr="003655FE" w:rsidRDefault="00544D46" w:rsidP="00FB2DC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Розв’язок задач, тощо</w:t>
            </w:r>
          </w:p>
        </w:tc>
        <w:tc>
          <w:tcPr>
            <w:tcW w:w="2268" w:type="dxa"/>
            <w:gridSpan w:val="2"/>
          </w:tcPr>
          <w:p w14:paraId="0D4B6DE7" w14:textId="77777777" w:rsidR="00544D46" w:rsidRPr="003655FE" w:rsidRDefault="008A759F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Виконання та здача практичних робіт</w:t>
            </w:r>
            <w:r w:rsidR="00E814A8"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та с</w:t>
            </w:r>
            <w:r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t>амостійн</w:t>
            </w:r>
            <w:r w:rsidR="00E814A8"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t>их</w:t>
            </w:r>
            <w:r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роб</w:t>
            </w:r>
            <w:r w:rsidR="00E814A8"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іт у </w:t>
            </w:r>
            <w:r w:rsidR="00E814A8"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розрізі кожної теми </w:t>
            </w:r>
            <w:r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t>згідно з журналом оцінювання в eLearn.</w:t>
            </w:r>
          </w:p>
        </w:tc>
      </w:tr>
      <w:tr w:rsidR="001B2399" w:rsidRPr="00451704" w14:paraId="6E0243FC" w14:textId="77777777" w:rsidTr="007A5FD6">
        <w:trPr>
          <w:gridAfter w:val="2"/>
          <w:wAfter w:w="69" w:type="dxa"/>
        </w:trPr>
        <w:tc>
          <w:tcPr>
            <w:tcW w:w="4679" w:type="dxa"/>
          </w:tcPr>
          <w:p w14:paraId="74968FC4" w14:textId="77777777" w:rsidR="00544D46" w:rsidRPr="00451704" w:rsidRDefault="0069264F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Разом Модуль 1</w:t>
            </w:r>
          </w:p>
        </w:tc>
        <w:tc>
          <w:tcPr>
            <w:tcW w:w="1134" w:type="dxa"/>
          </w:tcPr>
          <w:p w14:paraId="4F163F99" w14:textId="026596EF" w:rsidR="00544D46" w:rsidRPr="00451704" w:rsidRDefault="00475372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A74912"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528" w:type="dxa"/>
          </w:tcPr>
          <w:p w14:paraId="2392B1EA" w14:textId="77777777" w:rsidR="00544D46" w:rsidRPr="00451704" w:rsidRDefault="00544D46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4DC035F9" w14:textId="77777777" w:rsidR="00544D46" w:rsidRPr="00451704" w:rsidRDefault="00544D46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61E374BC" w14:textId="77777777" w:rsidR="00544D46" w:rsidRPr="00451704" w:rsidRDefault="004E59A0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69264F" w:rsidRPr="00451704" w14:paraId="0AA52DB6" w14:textId="77777777" w:rsidTr="007A5FD6">
        <w:tc>
          <w:tcPr>
            <w:tcW w:w="15805" w:type="dxa"/>
            <w:gridSpan w:val="8"/>
          </w:tcPr>
          <w:p w14:paraId="67F705C4" w14:textId="77777777" w:rsidR="0069264F" w:rsidRPr="00451704" w:rsidRDefault="0069264F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Модуль 2</w:t>
            </w:r>
          </w:p>
        </w:tc>
      </w:tr>
      <w:tr w:rsidR="00E814A8" w:rsidRPr="003655FE" w14:paraId="61F46FB3" w14:textId="77777777" w:rsidTr="007A5FD6">
        <w:trPr>
          <w:gridAfter w:val="2"/>
          <w:wAfter w:w="69" w:type="dxa"/>
        </w:trPr>
        <w:tc>
          <w:tcPr>
            <w:tcW w:w="4679" w:type="dxa"/>
          </w:tcPr>
          <w:p w14:paraId="7DD75C1B" w14:textId="77777777" w:rsidR="00E814A8" w:rsidRPr="00994583" w:rsidRDefault="00994583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583">
              <w:rPr>
                <w:rFonts w:ascii="Times New Roman" w:hAnsi="Times New Roman" w:cs="Times New Roman"/>
                <w:sz w:val="20"/>
                <w:szCs w:val="20"/>
              </w:rPr>
              <w:t>Тема 4. Аналіз ринкових можливостей економічного суб’єкта та конкурентоспроможності його продукції</w:t>
            </w:r>
          </w:p>
          <w:p w14:paraId="49F57277" w14:textId="77777777" w:rsidR="00994583" w:rsidRPr="00994583" w:rsidRDefault="00994583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583">
              <w:rPr>
                <w:rFonts w:ascii="Times New Roman" w:hAnsi="Times New Roman" w:cs="Times New Roman"/>
                <w:sz w:val="20"/>
                <w:szCs w:val="20"/>
              </w:rPr>
              <w:t>Тема 5. Аналіз ресурсного забезпечення бізнес-процесів підприємства</w:t>
            </w:r>
          </w:p>
          <w:p w14:paraId="68352668" w14:textId="77777777" w:rsidR="00994583" w:rsidRPr="00994583" w:rsidRDefault="00994583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45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 6. Аналітична оцінка бізнес-процесів виробництва та реалізації продукції (робіт, послуг)</w:t>
            </w:r>
          </w:p>
          <w:p w14:paraId="5A0F4231" w14:textId="77777777" w:rsidR="00994583" w:rsidRPr="003655FE" w:rsidRDefault="00994583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5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 7. Аналіз витрат підприємства</w:t>
            </w:r>
          </w:p>
        </w:tc>
        <w:tc>
          <w:tcPr>
            <w:tcW w:w="1134" w:type="dxa"/>
          </w:tcPr>
          <w:p w14:paraId="166B268C" w14:textId="497C7C6A" w:rsidR="00E814A8" w:rsidRPr="003655FE" w:rsidRDefault="00475372" w:rsidP="00E814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814A8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7B28D0C" w14:textId="77777777" w:rsidR="00E814A8" w:rsidRDefault="00E814A8" w:rsidP="00E814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9C414" w14:textId="77777777" w:rsidR="00994583" w:rsidRPr="003655FE" w:rsidRDefault="00994583" w:rsidP="00E814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3E804" w14:textId="77777777" w:rsidR="00E814A8" w:rsidRPr="003655FE" w:rsidRDefault="00994583" w:rsidP="00E814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814A8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028B67E" w14:textId="77777777" w:rsidR="00E814A8" w:rsidRPr="003655FE" w:rsidRDefault="00E814A8" w:rsidP="00E814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E0631" w14:textId="77777777" w:rsidR="00E814A8" w:rsidRPr="003655FE" w:rsidRDefault="00994583" w:rsidP="00E814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814A8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A7080E9" w14:textId="77777777" w:rsidR="00E814A8" w:rsidRPr="003655FE" w:rsidRDefault="00E814A8" w:rsidP="00E814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E2ED4" w14:textId="14A57982" w:rsidR="00E814A8" w:rsidRPr="003655FE" w:rsidRDefault="00475372" w:rsidP="003655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814A8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14:paraId="60276018" w14:textId="77777777" w:rsidR="007A5FD6" w:rsidRDefault="00E814A8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Розуміти сутність основних економічних категорій у розрізі тем</w:t>
            </w:r>
            <w:r w:rsidR="007A5F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9E53D4" w14:textId="77777777" w:rsidR="00E814A8" w:rsidRPr="003655FE" w:rsidRDefault="00E814A8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Знати завдання і складові аналізу у розрізі тем. Розуміти алгоритм аналізу. Аналізувати основні показники та їх чинники відповідно до теми. Обґрунтовувати шляхи підвищення </w:t>
            </w:r>
            <w:r w:rsidR="007A5FD6">
              <w:rPr>
                <w:rFonts w:ascii="Times New Roman" w:hAnsi="Times New Roman" w:cs="Times New Roman"/>
                <w:sz w:val="20"/>
                <w:szCs w:val="20"/>
              </w:rPr>
              <w:t>економічних</w:t>
            </w: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 показників та резервів підвищення ефективності господарської діяльності.</w:t>
            </w:r>
          </w:p>
          <w:p w14:paraId="1202E76D" w14:textId="77777777" w:rsidR="00E814A8" w:rsidRPr="003655FE" w:rsidRDefault="00E814A8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74FA4C" w14:textId="77777777" w:rsidR="00E814A8" w:rsidRPr="003655FE" w:rsidRDefault="00E814A8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роботи.</w:t>
            </w:r>
          </w:p>
          <w:p w14:paraId="66B2E3D7" w14:textId="77777777" w:rsidR="00E814A8" w:rsidRPr="003655FE" w:rsidRDefault="00E814A8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Написання тестів, ессе.</w:t>
            </w:r>
          </w:p>
          <w:p w14:paraId="77DB8BB7" w14:textId="77777777" w:rsidR="00E814A8" w:rsidRPr="003655FE" w:rsidRDefault="00E814A8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Виконання самостійної роботи (в.т.ч. в</w:t>
            </w:r>
            <w:r w:rsidRPr="00365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65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8BD8CD" w14:textId="77777777" w:rsidR="00E814A8" w:rsidRPr="003655FE" w:rsidRDefault="00E814A8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Розв’язок задач, тощо</w:t>
            </w:r>
          </w:p>
        </w:tc>
        <w:tc>
          <w:tcPr>
            <w:tcW w:w="2268" w:type="dxa"/>
            <w:gridSpan w:val="2"/>
          </w:tcPr>
          <w:p w14:paraId="5C090AE9" w14:textId="77777777" w:rsidR="00E814A8" w:rsidRPr="003655FE" w:rsidRDefault="00E814A8" w:rsidP="00E814A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t>Виконання та здача практичних робіт та самостійних робіт у розрізі кожної теми згідно з журналом оцінювання в eLearn.</w:t>
            </w:r>
          </w:p>
        </w:tc>
      </w:tr>
      <w:tr w:rsidR="001B2399" w:rsidRPr="00451704" w14:paraId="015A1D5B" w14:textId="77777777" w:rsidTr="007A5FD6">
        <w:trPr>
          <w:gridAfter w:val="2"/>
          <w:wAfter w:w="69" w:type="dxa"/>
        </w:trPr>
        <w:tc>
          <w:tcPr>
            <w:tcW w:w="4679" w:type="dxa"/>
          </w:tcPr>
          <w:p w14:paraId="796E04CF" w14:textId="77777777" w:rsidR="009335C6" w:rsidRPr="00451704" w:rsidRDefault="009335C6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Разом Модуль 2</w:t>
            </w:r>
          </w:p>
        </w:tc>
        <w:tc>
          <w:tcPr>
            <w:tcW w:w="1134" w:type="dxa"/>
          </w:tcPr>
          <w:p w14:paraId="0CBB70CA" w14:textId="52819B18" w:rsidR="009335C6" w:rsidRPr="00451704" w:rsidRDefault="007A5FD6" w:rsidP="007A5F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7537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B7CD7"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7537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28" w:type="dxa"/>
          </w:tcPr>
          <w:p w14:paraId="0DE2A4F7" w14:textId="77777777" w:rsidR="009335C6" w:rsidRPr="00451704" w:rsidRDefault="009335C6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4ADF5851" w14:textId="77777777" w:rsidR="009335C6" w:rsidRPr="00451704" w:rsidRDefault="009335C6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754C0B4A" w14:textId="77777777" w:rsidR="009335C6" w:rsidRPr="00451704" w:rsidRDefault="004E59A0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C5770B" w:rsidRPr="00451704" w14:paraId="18F6418C" w14:textId="77777777" w:rsidTr="007A5FD6">
        <w:tc>
          <w:tcPr>
            <w:tcW w:w="15805" w:type="dxa"/>
            <w:gridSpan w:val="8"/>
          </w:tcPr>
          <w:p w14:paraId="7924EF1E" w14:textId="77777777" w:rsidR="00C5770B" w:rsidRPr="00451704" w:rsidRDefault="00C5770B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Модуль 3</w:t>
            </w:r>
          </w:p>
        </w:tc>
      </w:tr>
      <w:tr w:rsidR="003655FE" w:rsidRPr="003655FE" w14:paraId="4FEDCA53" w14:textId="77777777" w:rsidTr="007A5FD6">
        <w:trPr>
          <w:gridAfter w:val="2"/>
          <w:wAfter w:w="69" w:type="dxa"/>
        </w:trPr>
        <w:tc>
          <w:tcPr>
            <w:tcW w:w="4679" w:type="dxa"/>
          </w:tcPr>
          <w:p w14:paraId="3A3D493D" w14:textId="77777777" w:rsidR="003655FE" w:rsidRPr="007A5FD6" w:rsidRDefault="007A5FD6" w:rsidP="003655FE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F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 8. Аналіз фінансових результатів діяльності економічного суб’єкта</w:t>
            </w:r>
          </w:p>
          <w:p w14:paraId="5C2F7789" w14:textId="77777777" w:rsidR="007A5FD6" w:rsidRPr="007A5FD6" w:rsidRDefault="007A5FD6" w:rsidP="003655FE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F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 9. Аналітична оцінка фінансового стану економічного суб’єкта</w:t>
            </w:r>
          </w:p>
          <w:p w14:paraId="24099C76" w14:textId="77777777" w:rsidR="007A5FD6" w:rsidRPr="003655FE" w:rsidRDefault="007A5FD6" w:rsidP="003655FE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F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 10. Аналітичне забезпечення антикризового управління і стратегії розвитку підприємства</w:t>
            </w:r>
          </w:p>
        </w:tc>
        <w:tc>
          <w:tcPr>
            <w:tcW w:w="1134" w:type="dxa"/>
          </w:tcPr>
          <w:p w14:paraId="1FC41E9B" w14:textId="1F11E254" w:rsidR="003655FE" w:rsidRPr="003655FE" w:rsidRDefault="00475372" w:rsidP="003655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55FE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1D6DB94" w14:textId="77777777" w:rsidR="003655FE" w:rsidRPr="003655FE" w:rsidRDefault="003655FE" w:rsidP="003655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28A3D" w14:textId="20774431" w:rsidR="007A5FD6" w:rsidRPr="003655FE" w:rsidRDefault="00475372" w:rsidP="007A5F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5FD6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E6E3F51" w14:textId="77777777" w:rsidR="003655FE" w:rsidRDefault="003655FE" w:rsidP="007A5F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FFB9D" w14:textId="6B38AB36" w:rsidR="007A5FD6" w:rsidRPr="003655FE" w:rsidRDefault="00475372" w:rsidP="007A5F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5FD6" w:rsidRPr="003655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E4932C" w14:textId="77777777" w:rsidR="007A5FD6" w:rsidRPr="003655FE" w:rsidRDefault="007A5FD6" w:rsidP="007A5FD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9EED05A" w14:textId="77777777" w:rsidR="007A5FD6" w:rsidRDefault="007A5FD6" w:rsidP="007A5FD6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Розуміти сутність основних економічних категорій у розрізі 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BC16F0" w14:textId="77777777" w:rsidR="007A5FD6" w:rsidRPr="003655FE" w:rsidRDefault="007A5FD6" w:rsidP="007A5FD6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Знати завдання і складові аналізу у розрізі тем. Розуміти алгоритм аналізу. Аналізувати основні показники та їх чинники відповідно до теми. Обґрунтовувати шляхи підвищення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економічних</w:t>
            </w: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 xml:space="preserve"> показників та резервів підвищення ефективності господарської діяльності.</w:t>
            </w:r>
          </w:p>
          <w:p w14:paraId="1FC8D3F9" w14:textId="77777777" w:rsidR="003655FE" w:rsidRPr="003655FE" w:rsidRDefault="003655FE" w:rsidP="003655FE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78C8AD" w14:textId="77777777" w:rsidR="003655FE" w:rsidRPr="003655FE" w:rsidRDefault="003655FE" w:rsidP="003655FE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роботи.</w:t>
            </w:r>
          </w:p>
          <w:p w14:paraId="12B79128" w14:textId="77777777" w:rsidR="003655FE" w:rsidRPr="003655FE" w:rsidRDefault="003655FE" w:rsidP="003655FE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Написання тестів, ессе.</w:t>
            </w:r>
          </w:p>
          <w:p w14:paraId="27486C32" w14:textId="77777777" w:rsidR="003655FE" w:rsidRPr="003655FE" w:rsidRDefault="003655FE" w:rsidP="003655FE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Виконання самостійної роботи (в.т.ч. в</w:t>
            </w:r>
            <w:r w:rsidRPr="00365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65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06B8AA4" w14:textId="77777777" w:rsidR="003655FE" w:rsidRPr="003655FE" w:rsidRDefault="003655FE" w:rsidP="003655F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sz w:val="20"/>
                <w:szCs w:val="20"/>
              </w:rPr>
              <w:t>Розв’язок задач, тощо</w:t>
            </w:r>
          </w:p>
        </w:tc>
        <w:tc>
          <w:tcPr>
            <w:tcW w:w="2268" w:type="dxa"/>
            <w:gridSpan w:val="2"/>
          </w:tcPr>
          <w:p w14:paraId="58B26C33" w14:textId="77777777" w:rsidR="003655FE" w:rsidRPr="003655FE" w:rsidRDefault="003655FE" w:rsidP="003655F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iCs/>
                <w:sz w:val="20"/>
                <w:szCs w:val="20"/>
              </w:rPr>
              <w:t>Виконання та здача практичних робіт та самостійних робіт у розрізі кожної теми згідно з журналом оцінювання в eLearn.</w:t>
            </w:r>
          </w:p>
        </w:tc>
      </w:tr>
      <w:tr w:rsidR="00C5770B" w:rsidRPr="00451704" w14:paraId="4B291CBB" w14:textId="77777777" w:rsidTr="007A5FD6">
        <w:trPr>
          <w:gridAfter w:val="2"/>
          <w:wAfter w:w="69" w:type="dxa"/>
        </w:trPr>
        <w:tc>
          <w:tcPr>
            <w:tcW w:w="4679" w:type="dxa"/>
          </w:tcPr>
          <w:p w14:paraId="7077BE45" w14:textId="77777777" w:rsidR="00C5770B" w:rsidRPr="00451704" w:rsidRDefault="00C5770B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Разом Модуль 3</w:t>
            </w:r>
          </w:p>
        </w:tc>
        <w:tc>
          <w:tcPr>
            <w:tcW w:w="1134" w:type="dxa"/>
          </w:tcPr>
          <w:p w14:paraId="3CCB6164" w14:textId="1939155B" w:rsidR="00C5770B" w:rsidRPr="00451704" w:rsidRDefault="007A5FD6" w:rsidP="007A5F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7537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C5770B"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7537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28" w:type="dxa"/>
          </w:tcPr>
          <w:p w14:paraId="61640AC6" w14:textId="77777777" w:rsidR="00C5770B" w:rsidRPr="00451704" w:rsidRDefault="00C5770B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5FE38C7" w14:textId="77777777" w:rsidR="00C5770B" w:rsidRPr="00451704" w:rsidRDefault="00C5770B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14D504E2" w14:textId="77777777" w:rsidR="00C5770B" w:rsidRPr="00451704" w:rsidRDefault="00C5770B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  <w:tr w:rsidR="00544D46" w:rsidRPr="00A71D92" w14:paraId="5E6EC625" w14:textId="77777777" w:rsidTr="007A5FD6">
        <w:trPr>
          <w:gridAfter w:val="1"/>
          <w:wAfter w:w="26" w:type="dxa"/>
        </w:trPr>
        <w:tc>
          <w:tcPr>
            <w:tcW w:w="13511" w:type="dxa"/>
            <w:gridSpan w:val="5"/>
          </w:tcPr>
          <w:p w14:paraId="0340087B" w14:textId="77777777" w:rsidR="00544D46" w:rsidRPr="003655FE" w:rsidRDefault="004E59A0" w:rsidP="00FB2DC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Навчальна робота</w:t>
            </w:r>
          </w:p>
        </w:tc>
        <w:tc>
          <w:tcPr>
            <w:tcW w:w="2268" w:type="dxa"/>
            <w:gridSpan w:val="2"/>
          </w:tcPr>
          <w:p w14:paraId="4A92024B" w14:textId="77777777" w:rsidR="00544D46" w:rsidRPr="003655FE" w:rsidRDefault="00544D46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4E59A0" w:rsidRPr="00A71D92" w14:paraId="7BBDBFDB" w14:textId="77777777" w:rsidTr="007A5FD6">
        <w:trPr>
          <w:gridAfter w:val="1"/>
          <w:wAfter w:w="26" w:type="dxa"/>
        </w:trPr>
        <w:tc>
          <w:tcPr>
            <w:tcW w:w="13511" w:type="dxa"/>
            <w:gridSpan w:val="5"/>
          </w:tcPr>
          <w:p w14:paraId="5AB4748C" w14:textId="77777777" w:rsidR="004E59A0" w:rsidRPr="003655FE" w:rsidRDefault="004E59A0" w:rsidP="00FB2DC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2268" w:type="dxa"/>
            <w:gridSpan w:val="2"/>
          </w:tcPr>
          <w:p w14:paraId="57E80968" w14:textId="77777777" w:rsidR="004E59A0" w:rsidRPr="003655FE" w:rsidRDefault="004E59A0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544D46" w:rsidRPr="00A71D92" w14:paraId="37C1F91F" w14:textId="77777777" w:rsidTr="007A5FD6">
        <w:trPr>
          <w:gridAfter w:val="1"/>
          <w:wAfter w:w="26" w:type="dxa"/>
        </w:trPr>
        <w:tc>
          <w:tcPr>
            <w:tcW w:w="13511" w:type="dxa"/>
            <w:gridSpan w:val="5"/>
          </w:tcPr>
          <w:p w14:paraId="39763609" w14:textId="77777777" w:rsidR="00544D46" w:rsidRPr="003655FE" w:rsidRDefault="00544D46" w:rsidP="00FB2DC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2268" w:type="dxa"/>
            <w:gridSpan w:val="2"/>
          </w:tcPr>
          <w:p w14:paraId="0703CC51" w14:textId="77777777" w:rsidR="00544D46" w:rsidRPr="003655FE" w:rsidRDefault="00544D46" w:rsidP="00FB2D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5F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277EEEDC" w14:textId="77777777" w:rsidR="00130933" w:rsidRPr="003655FE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3655FE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ПОЛІТИКА ОЦІНЮВАННЯ</w:t>
      </w:r>
    </w:p>
    <w:tbl>
      <w:tblPr>
        <w:tblStyle w:val="a3"/>
        <w:tblW w:w="15735" w:type="dxa"/>
        <w:tblInd w:w="-176" w:type="dxa"/>
        <w:tblLook w:val="04A0" w:firstRow="1" w:lastRow="0" w:firstColumn="1" w:lastColumn="0" w:noHBand="0" w:noVBand="1"/>
      </w:tblPr>
      <w:tblGrid>
        <w:gridCol w:w="3828"/>
        <w:gridCol w:w="11907"/>
      </w:tblGrid>
      <w:tr w:rsidR="00130933" w:rsidRPr="003655FE" w14:paraId="4CEC61EA" w14:textId="77777777" w:rsidTr="00451704">
        <w:tc>
          <w:tcPr>
            <w:tcW w:w="3828" w:type="dxa"/>
          </w:tcPr>
          <w:p w14:paraId="4B9E242B" w14:textId="77777777" w:rsidR="00130933" w:rsidRPr="00451704" w:rsidRDefault="00130933" w:rsidP="003655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Політика щодо дедлайнів та перескладання:</w:t>
            </w:r>
          </w:p>
        </w:tc>
        <w:tc>
          <w:tcPr>
            <w:tcW w:w="11907" w:type="dxa"/>
          </w:tcPr>
          <w:p w14:paraId="0CDE72F2" w14:textId="77777777" w:rsidR="00130933" w:rsidRPr="00451704" w:rsidRDefault="00544D46" w:rsidP="00544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3655FE" w14:paraId="0F6373FA" w14:textId="77777777" w:rsidTr="00451704">
        <w:tc>
          <w:tcPr>
            <w:tcW w:w="3828" w:type="dxa"/>
          </w:tcPr>
          <w:p w14:paraId="23752A19" w14:textId="77777777" w:rsidR="00130933" w:rsidRPr="00451704" w:rsidRDefault="00544D46" w:rsidP="003655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Політика щодо академічної доброчесності:</w:t>
            </w:r>
          </w:p>
        </w:tc>
        <w:tc>
          <w:tcPr>
            <w:tcW w:w="11907" w:type="dxa"/>
          </w:tcPr>
          <w:p w14:paraId="60DCBD9F" w14:textId="77777777" w:rsidR="00130933" w:rsidRPr="00451704" w:rsidRDefault="00544D46" w:rsidP="00544D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3655FE" w14:paraId="648F0C2A" w14:textId="77777777" w:rsidTr="00451704">
        <w:tc>
          <w:tcPr>
            <w:tcW w:w="3828" w:type="dxa"/>
          </w:tcPr>
          <w:p w14:paraId="7564F0EB" w14:textId="77777777" w:rsidR="00130933" w:rsidRPr="00451704" w:rsidRDefault="00544D46" w:rsidP="003655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Політика щодо відвідування:</w:t>
            </w:r>
          </w:p>
        </w:tc>
        <w:tc>
          <w:tcPr>
            <w:tcW w:w="11907" w:type="dxa"/>
          </w:tcPr>
          <w:p w14:paraId="3C7B62EE" w14:textId="77777777" w:rsidR="00130933" w:rsidRPr="00451704" w:rsidRDefault="00544D46" w:rsidP="00A71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451704">
              <w:rPr>
                <w:rFonts w:ascii="Times New Roman" w:hAnsi="Times New Roman" w:cs="Times New Roman"/>
                <w:sz w:val="18"/>
                <w:szCs w:val="18"/>
              </w:rPr>
              <w:t>деканом факультету</w:t>
            </w: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5ED2A0F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3655FE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ШКАЛА ОЦІНЮВАННЯ </w:t>
      </w:r>
      <w:r w:rsidR="003655FE" w:rsidRPr="003655FE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ЗНАНЬ </w:t>
      </w:r>
      <w:r w:rsidRPr="003655FE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СТУДЕНТІВ</w:t>
      </w:r>
    </w:p>
    <w:tbl>
      <w:tblPr>
        <w:tblStyle w:val="a3"/>
        <w:tblW w:w="15735" w:type="dxa"/>
        <w:tblInd w:w="-176" w:type="dxa"/>
        <w:tblLook w:val="04A0" w:firstRow="1" w:lastRow="0" w:firstColumn="1" w:lastColumn="0" w:noHBand="0" w:noVBand="1"/>
      </w:tblPr>
      <w:tblGrid>
        <w:gridCol w:w="6947"/>
        <w:gridCol w:w="5103"/>
        <w:gridCol w:w="3685"/>
      </w:tblGrid>
      <w:tr w:rsidR="00A71D92" w:rsidRPr="00A71D92" w14:paraId="32716F44" w14:textId="77777777" w:rsidTr="003655FE">
        <w:tc>
          <w:tcPr>
            <w:tcW w:w="6947" w:type="dxa"/>
            <w:vMerge w:val="restart"/>
          </w:tcPr>
          <w:p w14:paraId="517516CA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Рейтинг </w:t>
            </w:r>
            <w:r w:rsidR="003655FE"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студента</w:t>
            </w: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, бали</w:t>
            </w:r>
          </w:p>
        </w:tc>
        <w:tc>
          <w:tcPr>
            <w:tcW w:w="8788" w:type="dxa"/>
            <w:gridSpan w:val="2"/>
          </w:tcPr>
          <w:p w14:paraId="13F82A0A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41918FC7" w14:textId="77777777" w:rsidTr="003655FE">
        <w:tc>
          <w:tcPr>
            <w:tcW w:w="6947" w:type="dxa"/>
            <w:vMerge/>
          </w:tcPr>
          <w:p w14:paraId="44C64EEE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CEE864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="00A96EF1"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заменів</w:t>
            </w:r>
          </w:p>
        </w:tc>
        <w:tc>
          <w:tcPr>
            <w:tcW w:w="3685" w:type="dxa"/>
          </w:tcPr>
          <w:p w14:paraId="4AB5F555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b/>
                <w:sz w:val="18"/>
                <w:szCs w:val="18"/>
              </w:rPr>
              <w:t>заліків</w:t>
            </w:r>
          </w:p>
        </w:tc>
      </w:tr>
      <w:tr w:rsidR="00A71D92" w:rsidRPr="00A71D92" w14:paraId="10A306F5" w14:textId="77777777" w:rsidTr="003655FE">
        <w:tc>
          <w:tcPr>
            <w:tcW w:w="6947" w:type="dxa"/>
          </w:tcPr>
          <w:p w14:paraId="08458D3A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90-100</w:t>
            </w:r>
          </w:p>
        </w:tc>
        <w:tc>
          <w:tcPr>
            <w:tcW w:w="5103" w:type="dxa"/>
          </w:tcPr>
          <w:p w14:paraId="6F47ABEE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відмінно</w:t>
            </w:r>
          </w:p>
        </w:tc>
        <w:tc>
          <w:tcPr>
            <w:tcW w:w="3685" w:type="dxa"/>
            <w:vMerge w:val="restart"/>
          </w:tcPr>
          <w:p w14:paraId="2B9BBCB4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зараховано</w:t>
            </w:r>
          </w:p>
        </w:tc>
      </w:tr>
      <w:tr w:rsidR="00A71D92" w:rsidRPr="00A71D92" w14:paraId="0060F751" w14:textId="77777777" w:rsidTr="003655FE">
        <w:tc>
          <w:tcPr>
            <w:tcW w:w="6947" w:type="dxa"/>
          </w:tcPr>
          <w:p w14:paraId="594E9601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74-89</w:t>
            </w:r>
          </w:p>
        </w:tc>
        <w:tc>
          <w:tcPr>
            <w:tcW w:w="5103" w:type="dxa"/>
          </w:tcPr>
          <w:p w14:paraId="36DD9CA0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добре</w:t>
            </w:r>
          </w:p>
        </w:tc>
        <w:tc>
          <w:tcPr>
            <w:tcW w:w="3685" w:type="dxa"/>
            <w:vMerge/>
          </w:tcPr>
          <w:p w14:paraId="6ECE6E0E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D92" w:rsidRPr="00A71D92" w14:paraId="375F9168" w14:textId="77777777" w:rsidTr="003655FE">
        <w:tc>
          <w:tcPr>
            <w:tcW w:w="6947" w:type="dxa"/>
          </w:tcPr>
          <w:p w14:paraId="22FC8504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60-73</w:t>
            </w:r>
          </w:p>
        </w:tc>
        <w:tc>
          <w:tcPr>
            <w:tcW w:w="5103" w:type="dxa"/>
          </w:tcPr>
          <w:p w14:paraId="4C87B2D6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задовільно</w:t>
            </w:r>
          </w:p>
        </w:tc>
        <w:tc>
          <w:tcPr>
            <w:tcW w:w="3685" w:type="dxa"/>
            <w:vMerge/>
          </w:tcPr>
          <w:p w14:paraId="0CE48F71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D92" w:rsidRPr="00A71D92" w14:paraId="7A586D9D" w14:textId="77777777" w:rsidTr="003655FE">
        <w:tc>
          <w:tcPr>
            <w:tcW w:w="6947" w:type="dxa"/>
          </w:tcPr>
          <w:p w14:paraId="685A14D3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0-59</w:t>
            </w:r>
          </w:p>
        </w:tc>
        <w:tc>
          <w:tcPr>
            <w:tcW w:w="5103" w:type="dxa"/>
          </w:tcPr>
          <w:p w14:paraId="62DDDEE2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незадовільно</w:t>
            </w:r>
          </w:p>
        </w:tc>
        <w:tc>
          <w:tcPr>
            <w:tcW w:w="3685" w:type="dxa"/>
          </w:tcPr>
          <w:p w14:paraId="74BC6415" w14:textId="77777777" w:rsidR="00A71D92" w:rsidRPr="00451704" w:rsidRDefault="00A71D92" w:rsidP="00130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A96EF1" w:rsidRPr="00451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704">
              <w:rPr>
                <w:rFonts w:ascii="Times New Roman" w:hAnsi="Times New Roman" w:cs="Times New Roman"/>
                <w:sz w:val="18"/>
                <w:szCs w:val="18"/>
              </w:rPr>
              <w:t>зараховано</w:t>
            </w:r>
          </w:p>
        </w:tc>
      </w:tr>
    </w:tbl>
    <w:p w14:paraId="2D722722" w14:textId="77777777" w:rsidR="00544D46" w:rsidRPr="00A71D92" w:rsidRDefault="00544D46" w:rsidP="00365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FB2DCA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686"/>
    <w:multiLevelType w:val="hybridMultilevel"/>
    <w:tmpl w:val="E8465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2E65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E651F"/>
    <w:multiLevelType w:val="hybridMultilevel"/>
    <w:tmpl w:val="72F23052"/>
    <w:lvl w:ilvl="0" w:tplc="D89A1A7C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6580DFB"/>
    <w:multiLevelType w:val="hybridMultilevel"/>
    <w:tmpl w:val="046C0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2E65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AA"/>
    <w:rsid w:val="00033B3C"/>
    <w:rsid w:val="00130933"/>
    <w:rsid w:val="001431F8"/>
    <w:rsid w:val="001B2399"/>
    <w:rsid w:val="001B24DA"/>
    <w:rsid w:val="001B7CD7"/>
    <w:rsid w:val="0020200E"/>
    <w:rsid w:val="002300FE"/>
    <w:rsid w:val="00232290"/>
    <w:rsid w:val="00246136"/>
    <w:rsid w:val="002F768E"/>
    <w:rsid w:val="003655FE"/>
    <w:rsid w:val="00451704"/>
    <w:rsid w:val="00475372"/>
    <w:rsid w:val="004E59A0"/>
    <w:rsid w:val="004F66F4"/>
    <w:rsid w:val="00544D46"/>
    <w:rsid w:val="00581698"/>
    <w:rsid w:val="005D323C"/>
    <w:rsid w:val="00654D54"/>
    <w:rsid w:val="0069264F"/>
    <w:rsid w:val="007A5FD6"/>
    <w:rsid w:val="008051F3"/>
    <w:rsid w:val="00880706"/>
    <w:rsid w:val="008927AA"/>
    <w:rsid w:val="008A759F"/>
    <w:rsid w:val="008D07CB"/>
    <w:rsid w:val="009123F0"/>
    <w:rsid w:val="009335C6"/>
    <w:rsid w:val="00994583"/>
    <w:rsid w:val="00A71D92"/>
    <w:rsid w:val="00A74912"/>
    <w:rsid w:val="00A96EF1"/>
    <w:rsid w:val="00AD4EF7"/>
    <w:rsid w:val="00AF1879"/>
    <w:rsid w:val="00B20D1E"/>
    <w:rsid w:val="00B60231"/>
    <w:rsid w:val="00BB1F7C"/>
    <w:rsid w:val="00BB25E4"/>
    <w:rsid w:val="00C5770B"/>
    <w:rsid w:val="00C66371"/>
    <w:rsid w:val="00DA3EF6"/>
    <w:rsid w:val="00DB13C1"/>
    <w:rsid w:val="00DD1962"/>
    <w:rsid w:val="00DD7841"/>
    <w:rsid w:val="00DE7FD7"/>
    <w:rsid w:val="00E814A8"/>
    <w:rsid w:val="00EB48D0"/>
    <w:rsid w:val="00EC07A1"/>
    <w:rsid w:val="00ED3451"/>
    <w:rsid w:val="00F637EA"/>
    <w:rsid w:val="00F82151"/>
    <w:rsid w:val="00F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E1A6"/>
  <w15:docId w15:val="{2EB18481-3161-4EE0-88E0-0A53184A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20D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7">
    <w:name w:val="Основний текст Знак"/>
    <w:basedOn w:val="a0"/>
    <w:link w:val="a6"/>
    <w:rsid w:val="00B20D1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Body Text Indent"/>
    <w:basedOn w:val="a"/>
    <w:link w:val="a9"/>
    <w:rsid w:val="00B20D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rsid w:val="00B20D1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Emphasis"/>
    <w:basedOn w:val="a0"/>
    <w:qFormat/>
    <w:rsid w:val="008A759F"/>
    <w:rPr>
      <w:i/>
      <w:iCs/>
    </w:rPr>
  </w:style>
  <w:style w:type="character" w:styleId="ab">
    <w:name w:val="Hyperlink"/>
    <w:basedOn w:val="a0"/>
    <w:uiPriority w:val="99"/>
    <w:unhideWhenUsed/>
    <w:rsid w:val="00DD196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D1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enrol/index.php?id=96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Oleksandr Kuts</cp:lastModifiedBy>
  <cp:revision>20</cp:revision>
  <dcterms:created xsi:type="dcterms:W3CDTF">2020-06-14T10:25:00Z</dcterms:created>
  <dcterms:modified xsi:type="dcterms:W3CDTF">2021-06-07T14:10:00Z</dcterms:modified>
</cp:coreProperties>
</file>