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C8" w:rsidRDefault="00D14FE2">
      <w:pPr>
        <w:spacing w:before="65"/>
        <w:ind w:left="510" w:right="668"/>
        <w:jc w:val="center"/>
        <w:rPr>
          <w:b/>
          <w:sz w:val="32"/>
        </w:rPr>
      </w:pPr>
      <w:r>
        <w:rPr>
          <w:b/>
          <w:spacing w:val="-2"/>
          <w:sz w:val="32"/>
        </w:rPr>
        <w:t>РЕЗОЛЮЦІЯ</w:t>
      </w:r>
    </w:p>
    <w:p w:rsidR="00BB73C8" w:rsidRPr="00C11289" w:rsidRDefault="00C11289">
      <w:pPr>
        <w:pStyle w:val="a4"/>
      </w:pPr>
      <w:r w:rsidRPr="00C11289">
        <w:rPr>
          <w:bCs w:val="0"/>
          <w:sz w:val="32"/>
          <w:szCs w:val="32"/>
        </w:rPr>
        <w:t>VІIІ МІЖНАРОДНОЇ НАУКОВО-ПРАКТИЧНОЇ КОНФЕРЕНЦІЇ</w:t>
      </w:r>
      <w:r w:rsidRPr="00C11289">
        <w:rPr>
          <w:bCs w:val="0"/>
          <w:sz w:val="32"/>
          <w:szCs w:val="32"/>
        </w:rPr>
        <w:br/>
        <w:t xml:space="preserve">«ІНКЛЮЗИВНИЙ РОЗВИТОК НАЦІОНАЛЬНОЇ ЕКОНОМІКИ: ГЛОБАЛЬНІ ТЕНДЕНЦІЇ, МОЖЛИВОСТІ УКРАЇНИ ТА РОЛЬ АГРОПРОДОВОЛЬЧОГО СЕКТОРУ, </w:t>
      </w:r>
      <w:r w:rsidRPr="00C11289">
        <w:rPr>
          <w:sz w:val="32"/>
          <w:szCs w:val="32"/>
        </w:rPr>
        <w:t>ДОСВІД І СПІВПРАЦЯ З ЄС</w:t>
      </w:r>
      <w:r w:rsidRPr="00C11289">
        <w:rPr>
          <w:bCs w:val="0"/>
          <w:sz w:val="32"/>
          <w:szCs w:val="32"/>
        </w:rPr>
        <w:t>»</w:t>
      </w:r>
    </w:p>
    <w:p w:rsidR="00BB73C8" w:rsidRPr="00C11289" w:rsidRDefault="00D14FE2">
      <w:pPr>
        <w:spacing w:before="280"/>
        <w:ind w:left="510" w:right="670"/>
        <w:jc w:val="center"/>
        <w:rPr>
          <w:b/>
          <w:sz w:val="32"/>
          <w:szCs w:val="32"/>
        </w:rPr>
      </w:pPr>
      <w:r w:rsidRPr="00C11289">
        <w:rPr>
          <w:b/>
          <w:sz w:val="32"/>
          <w:szCs w:val="32"/>
        </w:rPr>
        <w:t>(Національний університет біоресурсів і природокористування</w:t>
      </w:r>
      <w:r w:rsidRPr="00C11289">
        <w:rPr>
          <w:b/>
          <w:spacing w:val="-8"/>
          <w:sz w:val="32"/>
          <w:szCs w:val="32"/>
        </w:rPr>
        <w:t xml:space="preserve"> </w:t>
      </w:r>
      <w:r w:rsidRPr="00C11289">
        <w:rPr>
          <w:b/>
          <w:sz w:val="32"/>
          <w:szCs w:val="32"/>
        </w:rPr>
        <w:t>України,</w:t>
      </w:r>
      <w:r w:rsidRPr="00C11289">
        <w:rPr>
          <w:b/>
          <w:spacing w:val="-7"/>
          <w:sz w:val="32"/>
          <w:szCs w:val="32"/>
        </w:rPr>
        <w:t xml:space="preserve"> </w:t>
      </w:r>
      <w:r w:rsidR="00C11289" w:rsidRPr="00C11289">
        <w:rPr>
          <w:b/>
          <w:sz w:val="32"/>
          <w:szCs w:val="32"/>
        </w:rPr>
        <w:t>23-24 жовтня 2024 р</w:t>
      </w:r>
      <w:r w:rsidR="00C11289" w:rsidRPr="00C11289">
        <w:rPr>
          <w:b/>
          <w:sz w:val="32"/>
          <w:szCs w:val="32"/>
        </w:rPr>
        <w:t>.)</w:t>
      </w:r>
    </w:p>
    <w:p w:rsidR="00BB73C8" w:rsidRDefault="00BB73C8">
      <w:pPr>
        <w:pStyle w:val="a3"/>
        <w:ind w:left="0"/>
        <w:rPr>
          <w:b/>
          <w:sz w:val="36"/>
        </w:rPr>
      </w:pPr>
    </w:p>
    <w:p w:rsidR="00316387" w:rsidRPr="001C6050" w:rsidRDefault="00D14FE2" w:rsidP="00316387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1C6050">
        <w:rPr>
          <w:sz w:val="28"/>
          <w:szCs w:val="28"/>
        </w:rPr>
        <w:t>Учасники конференції відзначили</w:t>
      </w:r>
      <w:r w:rsidR="00C11289" w:rsidRPr="001C6050">
        <w:rPr>
          <w:sz w:val="28"/>
          <w:szCs w:val="28"/>
        </w:rPr>
        <w:t>, що</w:t>
      </w:r>
      <w:r w:rsidRPr="001C6050">
        <w:rPr>
          <w:sz w:val="28"/>
          <w:szCs w:val="28"/>
        </w:rPr>
        <w:t xml:space="preserve"> </w:t>
      </w:r>
      <w:r w:rsidR="00C11289" w:rsidRPr="001C6050">
        <w:rPr>
          <w:sz w:val="28"/>
          <w:szCs w:val="28"/>
        </w:rPr>
        <w:t>і</w:t>
      </w:r>
      <w:r w:rsidR="00C11289" w:rsidRPr="00C11289">
        <w:rPr>
          <w:sz w:val="28"/>
          <w:szCs w:val="28"/>
        </w:rPr>
        <w:t xml:space="preserve">нклюзивний розвиток є глобальним трендом, </w:t>
      </w:r>
      <w:r w:rsidR="00C11289" w:rsidRPr="001C6050">
        <w:rPr>
          <w:sz w:val="28"/>
          <w:szCs w:val="28"/>
        </w:rPr>
        <w:t>який</w:t>
      </w:r>
      <w:r w:rsidR="00C11289" w:rsidRPr="00C11289">
        <w:rPr>
          <w:sz w:val="28"/>
          <w:szCs w:val="28"/>
        </w:rPr>
        <w:t xml:space="preserve"> об'єднує економічні, соціальні та екологічні аспекти для сталого зростання</w:t>
      </w:r>
      <w:r w:rsidRPr="001C6050">
        <w:rPr>
          <w:sz w:val="28"/>
          <w:szCs w:val="28"/>
        </w:rPr>
        <w:t>.</w:t>
      </w:r>
      <w:r w:rsidRPr="001C6050">
        <w:rPr>
          <w:spacing w:val="-3"/>
          <w:sz w:val="28"/>
          <w:szCs w:val="28"/>
        </w:rPr>
        <w:t xml:space="preserve"> </w:t>
      </w:r>
      <w:r w:rsidR="00C06F19" w:rsidRPr="00C11289">
        <w:rPr>
          <w:sz w:val="28"/>
          <w:szCs w:val="28"/>
        </w:rPr>
        <w:t xml:space="preserve">Європейський досвід впровадження цілей сталого розвитку </w:t>
      </w:r>
      <w:r w:rsidR="00C06F19" w:rsidRPr="001C6050">
        <w:rPr>
          <w:sz w:val="28"/>
          <w:szCs w:val="28"/>
        </w:rPr>
        <w:t>демонструє, що інклюзивні моделі сприяють зниженню соціальної нерівності, підвищенню якості життя та активізації економічної діяльності</w:t>
      </w:r>
      <w:r w:rsidR="00C06F19" w:rsidRPr="001C6050">
        <w:rPr>
          <w:sz w:val="28"/>
          <w:szCs w:val="28"/>
        </w:rPr>
        <w:t xml:space="preserve">, що </w:t>
      </w:r>
      <w:r w:rsidR="00C06F19" w:rsidRPr="00C11289">
        <w:rPr>
          <w:sz w:val="28"/>
          <w:szCs w:val="28"/>
        </w:rPr>
        <w:t>є виключно цінним для України, зокрема у сфері агропродовольчого сектору</w:t>
      </w:r>
      <w:r w:rsidR="00316387">
        <w:rPr>
          <w:sz w:val="28"/>
          <w:szCs w:val="28"/>
        </w:rPr>
        <w:t xml:space="preserve">. </w:t>
      </w:r>
      <w:r w:rsidR="00316387" w:rsidRPr="001C6050">
        <w:rPr>
          <w:sz w:val="28"/>
          <w:szCs w:val="28"/>
        </w:rPr>
        <w:t>Конференція підтвердила, що інклюзивний розвиток є ключовою складовою побудови стійкої та конкурентоспроможної економіки України, а впровадження запропонованих заходів сприятиме економічному зростанню, соціальній стабільності та інтеграції України в глобальну економіку.</w:t>
      </w:r>
    </w:p>
    <w:p w:rsidR="00BB73C8" w:rsidRPr="001C6050" w:rsidRDefault="00C06F19" w:rsidP="00316387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1C6050">
        <w:rPr>
          <w:sz w:val="28"/>
          <w:szCs w:val="28"/>
        </w:rPr>
        <w:t xml:space="preserve"> </w:t>
      </w:r>
      <w:r w:rsidR="00D14FE2" w:rsidRPr="001C6050">
        <w:rPr>
          <w:sz w:val="28"/>
          <w:szCs w:val="28"/>
        </w:rPr>
        <w:t xml:space="preserve">Наукові доповіді носили практичний характер та забезпечили </w:t>
      </w:r>
      <w:r w:rsidR="001C6050" w:rsidRPr="001C6050">
        <w:rPr>
          <w:sz w:val="28"/>
          <w:szCs w:val="28"/>
        </w:rPr>
        <w:t>продуктивні дискусії</w:t>
      </w:r>
      <w:r w:rsidR="001C6050" w:rsidRPr="001C6050">
        <w:rPr>
          <w:sz w:val="28"/>
          <w:szCs w:val="28"/>
        </w:rPr>
        <w:t>, ефективний обмін думками та</w:t>
      </w:r>
      <w:r w:rsidR="00D14FE2" w:rsidRPr="001C6050">
        <w:rPr>
          <w:sz w:val="28"/>
          <w:szCs w:val="28"/>
        </w:rPr>
        <w:t xml:space="preserve"> знаннями</w:t>
      </w:r>
      <w:r w:rsidR="00316387">
        <w:rPr>
          <w:sz w:val="28"/>
          <w:szCs w:val="28"/>
        </w:rPr>
        <w:t>, зокрема,</w:t>
      </w:r>
      <w:r w:rsidR="00D14FE2" w:rsidRPr="001C6050">
        <w:rPr>
          <w:sz w:val="28"/>
          <w:szCs w:val="28"/>
        </w:rPr>
        <w:t xml:space="preserve"> в частині інклюзивного розвитку національної економіки. Проведений науковий захід сприяв зміцненню міжнародних зв’язків з партнерами та учасниками конференції.</w:t>
      </w:r>
    </w:p>
    <w:p w:rsidR="00BB73C8" w:rsidRPr="001C6050" w:rsidRDefault="00D14FE2" w:rsidP="00316387">
      <w:pPr>
        <w:pStyle w:val="a3"/>
        <w:spacing w:line="360" w:lineRule="auto"/>
        <w:ind w:left="0" w:firstLine="567"/>
        <w:contextualSpacing/>
        <w:jc w:val="both"/>
      </w:pPr>
      <w:r w:rsidRPr="001C6050">
        <w:t>З метою подальшого розвитку теоретичних і прикладних досліджень за напрямом роботи конференції, сприяння розширенню та поглибленню наукових та професійних контактів, обміну знаннями в частині інклюзивного розвитку національної економіки, його тенденцій, можливост</w:t>
      </w:r>
      <w:r w:rsidR="001C6050" w:rsidRPr="001C6050">
        <w:t>ей</w:t>
      </w:r>
      <w:r w:rsidRPr="001C6050">
        <w:rPr>
          <w:spacing w:val="-18"/>
        </w:rPr>
        <w:t xml:space="preserve"> </w:t>
      </w:r>
      <w:r w:rsidRPr="001C6050">
        <w:t>України</w:t>
      </w:r>
      <w:r w:rsidRPr="001C6050">
        <w:rPr>
          <w:spacing w:val="-17"/>
        </w:rPr>
        <w:t xml:space="preserve"> </w:t>
      </w:r>
      <w:r w:rsidRPr="001C6050">
        <w:t>та</w:t>
      </w:r>
      <w:r w:rsidRPr="001C6050">
        <w:rPr>
          <w:spacing w:val="-18"/>
        </w:rPr>
        <w:t xml:space="preserve"> </w:t>
      </w:r>
      <w:r w:rsidRPr="001C6050">
        <w:lastRenderedPageBreak/>
        <w:t>рол</w:t>
      </w:r>
      <w:r w:rsidR="00A73922">
        <w:t xml:space="preserve">і </w:t>
      </w:r>
      <w:r w:rsidRPr="001C6050">
        <w:t>агропродовольчого</w:t>
      </w:r>
      <w:r w:rsidRPr="001C6050">
        <w:rPr>
          <w:spacing w:val="-18"/>
        </w:rPr>
        <w:t xml:space="preserve"> </w:t>
      </w:r>
      <w:r w:rsidRPr="001C6050">
        <w:t>сектору</w:t>
      </w:r>
      <w:r w:rsidRPr="001C6050">
        <w:rPr>
          <w:spacing w:val="-17"/>
        </w:rPr>
        <w:t xml:space="preserve"> </w:t>
      </w:r>
      <w:r w:rsidRPr="001C6050">
        <w:t>в</w:t>
      </w:r>
      <w:r w:rsidRPr="001C6050">
        <w:rPr>
          <w:spacing w:val="-18"/>
        </w:rPr>
        <w:t xml:space="preserve"> </w:t>
      </w:r>
      <w:r w:rsidRPr="001C6050">
        <w:t>ньому</w:t>
      </w:r>
      <w:r w:rsidR="00A73922">
        <w:t>,</w:t>
      </w:r>
      <w:r w:rsidRPr="001C6050">
        <w:rPr>
          <w:spacing w:val="-16"/>
        </w:rPr>
        <w:t xml:space="preserve"> </w:t>
      </w:r>
      <w:r w:rsidRPr="001C6050">
        <w:t>учасники міжнародної конференції ухвалили:</w:t>
      </w:r>
    </w:p>
    <w:p w:rsidR="00BB73C8" w:rsidRPr="001C6050" w:rsidRDefault="00D14FE2" w:rsidP="00316387">
      <w:pPr>
        <w:pStyle w:val="a5"/>
        <w:numPr>
          <w:ilvl w:val="0"/>
          <w:numId w:val="1"/>
        </w:numPr>
        <w:tabs>
          <w:tab w:val="left" w:pos="1134"/>
          <w:tab w:val="left" w:pos="1396"/>
        </w:tabs>
        <w:spacing w:line="360" w:lineRule="auto"/>
        <w:ind w:left="0" w:right="0" w:firstLine="567"/>
        <w:contextualSpacing/>
        <w:rPr>
          <w:sz w:val="28"/>
          <w:szCs w:val="28"/>
        </w:rPr>
      </w:pPr>
      <w:r w:rsidRPr="001C6050">
        <w:rPr>
          <w:sz w:val="28"/>
          <w:szCs w:val="28"/>
        </w:rPr>
        <w:t>Вважати</w:t>
      </w:r>
      <w:r w:rsidRPr="001C6050">
        <w:rPr>
          <w:spacing w:val="52"/>
          <w:sz w:val="28"/>
          <w:szCs w:val="28"/>
        </w:rPr>
        <w:t xml:space="preserve">  </w:t>
      </w:r>
      <w:r w:rsidRPr="001C6050">
        <w:rPr>
          <w:sz w:val="28"/>
          <w:szCs w:val="28"/>
        </w:rPr>
        <w:t>V</w:t>
      </w:r>
      <w:r w:rsidR="001C6050" w:rsidRPr="001C6050">
        <w:rPr>
          <w:sz w:val="28"/>
          <w:szCs w:val="28"/>
        </w:rPr>
        <w:t>І</w:t>
      </w:r>
      <w:r w:rsidRPr="001C6050">
        <w:rPr>
          <w:sz w:val="28"/>
          <w:szCs w:val="28"/>
        </w:rPr>
        <w:t>ІI</w:t>
      </w:r>
      <w:r w:rsidRPr="001C6050">
        <w:rPr>
          <w:spacing w:val="52"/>
          <w:sz w:val="28"/>
          <w:szCs w:val="28"/>
        </w:rPr>
        <w:t xml:space="preserve">  </w:t>
      </w:r>
      <w:r w:rsidRPr="001C6050">
        <w:rPr>
          <w:sz w:val="28"/>
          <w:szCs w:val="28"/>
        </w:rPr>
        <w:t>Міжнародну</w:t>
      </w:r>
      <w:r w:rsidRPr="001C6050">
        <w:rPr>
          <w:spacing w:val="52"/>
          <w:sz w:val="28"/>
          <w:szCs w:val="28"/>
        </w:rPr>
        <w:t xml:space="preserve">  </w:t>
      </w:r>
      <w:r w:rsidRPr="001C6050">
        <w:rPr>
          <w:sz w:val="28"/>
          <w:szCs w:val="28"/>
        </w:rPr>
        <w:t>науково-практичну</w:t>
      </w:r>
      <w:r w:rsidRPr="001C6050">
        <w:rPr>
          <w:spacing w:val="52"/>
          <w:sz w:val="28"/>
          <w:szCs w:val="28"/>
        </w:rPr>
        <w:t xml:space="preserve">  </w:t>
      </w:r>
      <w:r w:rsidRPr="001C6050">
        <w:rPr>
          <w:spacing w:val="-2"/>
          <w:sz w:val="28"/>
          <w:szCs w:val="28"/>
        </w:rPr>
        <w:t>конференцію</w:t>
      </w:r>
      <w:r w:rsidR="00316387">
        <w:rPr>
          <w:spacing w:val="-2"/>
          <w:sz w:val="28"/>
          <w:szCs w:val="28"/>
        </w:rPr>
        <w:t xml:space="preserve"> </w:t>
      </w:r>
      <w:r w:rsidRPr="001C6050">
        <w:rPr>
          <w:sz w:val="28"/>
          <w:szCs w:val="28"/>
        </w:rPr>
        <w:t>«Інклюзивний розвиток національної економіки: глобальні тенденції, можливості України та роль агропродовольчого сектору</w:t>
      </w:r>
      <w:r w:rsidR="001C6050" w:rsidRPr="001C6050">
        <w:rPr>
          <w:sz w:val="28"/>
          <w:szCs w:val="28"/>
        </w:rPr>
        <w:t xml:space="preserve">, досвід і співпраця з </w:t>
      </w:r>
      <w:r w:rsidR="001C6050" w:rsidRPr="001C6050">
        <w:rPr>
          <w:sz w:val="28"/>
          <w:szCs w:val="28"/>
        </w:rPr>
        <w:t>ЄС</w:t>
      </w:r>
      <w:r w:rsidRPr="001C6050">
        <w:rPr>
          <w:sz w:val="28"/>
          <w:szCs w:val="28"/>
        </w:rPr>
        <w:t>» проведеною на високому науково-практичному рівні.</w:t>
      </w:r>
    </w:p>
    <w:p w:rsidR="00BB73C8" w:rsidRPr="001C6050" w:rsidRDefault="00D14FE2" w:rsidP="00316387">
      <w:pPr>
        <w:pStyle w:val="a5"/>
        <w:numPr>
          <w:ilvl w:val="0"/>
          <w:numId w:val="1"/>
        </w:numPr>
        <w:tabs>
          <w:tab w:val="left" w:pos="1134"/>
          <w:tab w:val="left" w:pos="1396"/>
        </w:tabs>
        <w:spacing w:line="360" w:lineRule="auto"/>
        <w:ind w:left="0" w:right="0" w:firstLine="567"/>
        <w:contextualSpacing/>
        <w:rPr>
          <w:sz w:val="28"/>
          <w:szCs w:val="28"/>
        </w:rPr>
      </w:pPr>
      <w:r w:rsidRPr="001C6050">
        <w:rPr>
          <w:sz w:val="28"/>
          <w:szCs w:val="28"/>
        </w:rPr>
        <w:t>Визнати, що тематика доповідей учасників конференції є актуальною та сприяє до подальших наукових пошуків з даної тематики.</w:t>
      </w:r>
    </w:p>
    <w:p w:rsidR="00BB73C8" w:rsidRPr="001C6050" w:rsidRDefault="008F21C9" w:rsidP="00316387">
      <w:pPr>
        <w:pStyle w:val="a5"/>
        <w:numPr>
          <w:ilvl w:val="0"/>
          <w:numId w:val="1"/>
        </w:numPr>
        <w:tabs>
          <w:tab w:val="left" w:pos="1134"/>
          <w:tab w:val="left" w:pos="1396"/>
        </w:tabs>
        <w:spacing w:line="360" w:lineRule="auto"/>
        <w:ind w:left="0" w:right="0" w:firstLine="567"/>
        <w:contextualSpacing/>
        <w:rPr>
          <w:sz w:val="28"/>
          <w:szCs w:val="28"/>
        </w:rPr>
      </w:pPr>
      <w:r>
        <w:rPr>
          <w:sz w:val="28"/>
        </w:rPr>
        <w:t>Поглиблювати</w:t>
      </w:r>
      <w:r w:rsidR="001C6050" w:rsidRPr="00C11289">
        <w:rPr>
          <w:sz w:val="28"/>
          <w:szCs w:val="28"/>
          <w:lang w:eastAsia="uk-UA"/>
        </w:rPr>
        <w:t xml:space="preserve"> партнерські відносини </w:t>
      </w:r>
      <w:r>
        <w:rPr>
          <w:sz w:val="28"/>
          <w:szCs w:val="28"/>
          <w:lang w:eastAsia="uk-UA"/>
        </w:rPr>
        <w:t>із</w:t>
      </w:r>
      <w:r w:rsidR="001C6050" w:rsidRPr="00C11289">
        <w:rPr>
          <w:sz w:val="28"/>
          <w:szCs w:val="28"/>
          <w:lang w:eastAsia="uk-UA"/>
        </w:rPr>
        <w:t xml:space="preserve"> науковими, о</w:t>
      </w:r>
      <w:r>
        <w:rPr>
          <w:sz w:val="28"/>
          <w:szCs w:val="28"/>
          <w:lang w:eastAsia="uk-UA"/>
        </w:rPr>
        <w:t xml:space="preserve">світніми та бізнес-спільнотами </w:t>
      </w:r>
      <w:r w:rsidR="001C6050" w:rsidRPr="00C11289">
        <w:rPr>
          <w:sz w:val="28"/>
          <w:szCs w:val="28"/>
          <w:lang w:eastAsia="uk-UA"/>
        </w:rPr>
        <w:t xml:space="preserve">країн ЄС </w:t>
      </w:r>
      <w:r w:rsidRPr="00C11289">
        <w:rPr>
          <w:sz w:val="28"/>
          <w:szCs w:val="28"/>
          <w:lang w:eastAsia="uk-UA"/>
        </w:rPr>
        <w:t>та</w:t>
      </w:r>
      <w:r w:rsidRPr="00C11289">
        <w:rPr>
          <w:sz w:val="28"/>
          <w:szCs w:val="28"/>
          <w:lang w:eastAsia="uk-UA"/>
        </w:rPr>
        <w:t xml:space="preserve"> </w:t>
      </w:r>
      <w:r>
        <w:rPr>
          <w:sz w:val="28"/>
        </w:rPr>
        <w:t>інших країн</w:t>
      </w:r>
      <w:r>
        <w:rPr>
          <w:sz w:val="28"/>
        </w:rPr>
        <w:t xml:space="preserve"> </w:t>
      </w:r>
      <w:r w:rsidR="001C6050" w:rsidRPr="00C11289">
        <w:rPr>
          <w:sz w:val="28"/>
          <w:szCs w:val="28"/>
          <w:lang w:eastAsia="uk-UA"/>
        </w:rPr>
        <w:t>для обміну досвідом і розробки спільних проектів</w:t>
      </w:r>
      <w:r w:rsidR="00D14FE2" w:rsidRPr="001C6050">
        <w:rPr>
          <w:sz w:val="28"/>
          <w:szCs w:val="28"/>
        </w:rPr>
        <w:t>.</w:t>
      </w:r>
    </w:p>
    <w:p w:rsidR="00BB73C8" w:rsidRPr="001C6050" w:rsidRDefault="00D14FE2" w:rsidP="00316387">
      <w:pPr>
        <w:pStyle w:val="a5"/>
        <w:numPr>
          <w:ilvl w:val="0"/>
          <w:numId w:val="1"/>
        </w:numPr>
        <w:tabs>
          <w:tab w:val="left" w:pos="1134"/>
          <w:tab w:val="left" w:pos="1396"/>
        </w:tabs>
        <w:spacing w:line="360" w:lineRule="auto"/>
        <w:ind w:left="0" w:right="0" w:firstLine="567"/>
        <w:contextualSpacing/>
        <w:rPr>
          <w:sz w:val="28"/>
          <w:szCs w:val="28"/>
        </w:rPr>
      </w:pPr>
      <w:r w:rsidRPr="001C6050">
        <w:rPr>
          <w:sz w:val="28"/>
          <w:szCs w:val="28"/>
        </w:rPr>
        <w:t xml:space="preserve">Рекомендувати продовжувати проводити дану міжнародну конференцію щороку, адже вона </w:t>
      </w:r>
      <w:r w:rsidR="00A73922">
        <w:rPr>
          <w:sz w:val="28"/>
          <w:szCs w:val="28"/>
        </w:rPr>
        <w:t>щоразу</w:t>
      </w:r>
      <w:r w:rsidRPr="001C6050">
        <w:rPr>
          <w:sz w:val="28"/>
          <w:szCs w:val="28"/>
        </w:rPr>
        <w:t xml:space="preserve"> </w:t>
      </w:r>
      <w:r w:rsidR="00A73922" w:rsidRPr="001C6050">
        <w:rPr>
          <w:sz w:val="28"/>
          <w:szCs w:val="28"/>
        </w:rPr>
        <w:t>набуває</w:t>
      </w:r>
      <w:r w:rsidR="00A73922" w:rsidRPr="001C6050">
        <w:rPr>
          <w:sz w:val="28"/>
          <w:szCs w:val="28"/>
        </w:rPr>
        <w:t xml:space="preserve"> </w:t>
      </w:r>
      <w:r w:rsidRPr="001C6050">
        <w:rPr>
          <w:sz w:val="28"/>
          <w:szCs w:val="28"/>
        </w:rPr>
        <w:t>більш</w:t>
      </w:r>
      <w:r w:rsidR="00A73922">
        <w:rPr>
          <w:sz w:val="28"/>
          <w:szCs w:val="28"/>
        </w:rPr>
        <w:t>ої</w:t>
      </w:r>
      <w:bookmarkStart w:id="0" w:name="_GoBack"/>
      <w:bookmarkEnd w:id="0"/>
      <w:r w:rsidRPr="001C6050">
        <w:rPr>
          <w:sz w:val="28"/>
          <w:szCs w:val="28"/>
        </w:rPr>
        <w:t xml:space="preserve"> актуальності.</w:t>
      </w:r>
    </w:p>
    <w:p w:rsidR="00BB73C8" w:rsidRPr="001C6050" w:rsidRDefault="00D14FE2" w:rsidP="00316387">
      <w:pPr>
        <w:pStyle w:val="a5"/>
        <w:numPr>
          <w:ilvl w:val="0"/>
          <w:numId w:val="1"/>
        </w:numPr>
        <w:tabs>
          <w:tab w:val="left" w:pos="1134"/>
          <w:tab w:val="left" w:pos="1396"/>
        </w:tabs>
        <w:spacing w:line="360" w:lineRule="auto"/>
        <w:ind w:left="0" w:right="0" w:firstLine="567"/>
        <w:contextualSpacing/>
        <w:rPr>
          <w:sz w:val="28"/>
          <w:szCs w:val="28"/>
        </w:rPr>
      </w:pPr>
      <w:r w:rsidRPr="001C6050">
        <w:rPr>
          <w:sz w:val="28"/>
          <w:szCs w:val="28"/>
        </w:rPr>
        <w:t>Матеріали за результатами роботи конференції використати в наукових дослідженнях та під час формування планів робіт кафедри виробничого та інвестиційного менеджменту на 202</w:t>
      </w:r>
      <w:r w:rsidR="001C6050" w:rsidRPr="001C6050">
        <w:rPr>
          <w:sz w:val="28"/>
          <w:szCs w:val="28"/>
        </w:rPr>
        <w:t>4</w:t>
      </w:r>
      <w:r w:rsidRPr="001C6050">
        <w:rPr>
          <w:sz w:val="28"/>
          <w:szCs w:val="28"/>
        </w:rPr>
        <w:t>-202</w:t>
      </w:r>
      <w:r w:rsidR="001C6050" w:rsidRPr="001C6050">
        <w:rPr>
          <w:sz w:val="28"/>
          <w:szCs w:val="28"/>
        </w:rPr>
        <w:t>5</w:t>
      </w:r>
      <w:r w:rsidRPr="001C6050">
        <w:rPr>
          <w:sz w:val="28"/>
          <w:szCs w:val="28"/>
        </w:rPr>
        <w:t xml:space="preserve"> навчальний рік з метою актуалізації та врахування сучасних глобальних викликів.</w:t>
      </w: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D14FE2" w:rsidP="001C6050">
      <w:pPr>
        <w:pStyle w:val="a3"/>
        <w:tabs>
          <w:tab w:val="left" w:pos="6598"/>
        </w:tabs>
        <w:spacing w:line="360" w:lineRule="auto"/>
        <w:ind w:firstLine="567"/>
        <w:contextualSpacing/>
        <w:jc w:val="both"/>
      </w:pPr>
      <w:r w:rsidRPr="001C6050">
        <w:t>Голова</w:t>
      </w:r>
      <w:r w:rsidRPr="001C6050">
        <w:rPr>
          <w:spacing w:val="-14"/>
        </w:rPr>
        <w:t xml:space="preserve"> </w:t>
      </w:r>
      <w:r w:rsidRPr="001C6050">
        <w:t>організаційного</w:t>
      </w:r>
      <w:r w:rsidRPr="001C6050">
        <w:rPr>
          <w:spacing w:val="-14"/>
        </w:rPr>
        <w:t xml:space="preserve"> </w:t>
      </w:r>
      <w:r w:rsidRPr="001C6050">
        <w:rPr>
          <w:spacing w:val="-2"/>
        </w:rPr>
        <w:t>комітету</w:t>
      </w:r>
      <w:r w:rsidRPr="001C6050">
        <w:tab/>
        <w:t>Анатолій</w:t>
      </w:r>
      <w:r w:rsidRPr="001C6050">
        <w:rPr>
          <w:spacing w:val="-11"/>
        </w:rPr>
        <w:t xml:space="preserve"> </w:t>
      </w:r>
      <w:r w:rsidRPr="001C6050">
        <w:rPr>
          <w:spacing w:val="-2"/>
        </w:rPr>
        <w:t>ОСТАПЧУК</w:t>
      </w: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D14FE2" w:rsidP="001C6050">
      <w:pPr>
        <w:pStyle w:val="a3"/>
        <w:tabs>
          <w:tab w:val="left" w:pos="6598"/>
        </w:tabs>
        <w:spacing w:line="360" w:lineRule="auto"/>
        <w:ind w:firstLine="567"/>
        <w:contextualSpacing/>
        <w:jc w:val="both"/>
      </w:pPr>
      <w:r w:rsidRPr="001C6050">
        <w:t>Співголова</w:t>
      </w:r>
      <w:r w:rsidRPr="001C6050">
        <w:rPr>
          <w:spacing w:val="-16"/>
        </w:rPr>
        <w:t xml:space="preserve"> </w:t>
      </w:r>
      <w:r w:rsidRPr="001C6050">
        <w:t>організаційного</w:t>
      </w:r>
      <w:r w:rsidRPr="001C6050">
        <w:rPr>
          <w:spacing w:val="-16"/>
        </w:rPr>
        <w:t xml:space="preserve"> </w:t>
      </w:r>
      <w:r w:rsidRPr="001C6050">
        <w:rPr>
          <w:spacing w:val="-2"/>
        </w:rPr>
        <w:t>комітету</w:t>
      </w:r>
      <w:r w:rsidRPr="001C6050">
        <w:tab/>
        <w:t>Лідія</w:t>
      </w:r>
      <w:r w:rsidRPr="001C6050">
        <w:rPr>
          <w:spacing w:val="-6"/>
        </w:rPr>
        <w:t xml:space="preserve"> </w:t>
      </w:r>
      <w:r w:rsidRPr="001C6050">
        <w:rPr>
          <w:spacing w:val="-2"/>
        </w:rPr>
        <w:t>ШИНКАРУК</w:t>
      </w: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BB73C8" w:rsidP="001C6050">
      <w:pPr>
        <w:pStyle w:val="a3"/>
        <w:spacing w:line="360" w:lineRule="auto"/>
        <w:ind w:left="0" w:firstLine="567"/>
        <w:contextualSpacing/>
        <w:jc w:val="both"/>
      </w:pPr>
    </w:p>
    <w:p w:rsidR="00BB73C8" w:rsidRPr="001C6050" w:rsidRDefault="00D14FE2" w:rsidP="001C6050">
      <w:pPr>
        <w:pStyle w:val="a3"/>
        <w:tabs>
          <w:tab w:val="left" w:pos="6598"/>
        </w:tabs>
        <w:spacing w:line="360" w:lineRule="auto"/>
        <w:ind w:firstLine="567"/>
        <w:contextualSpacing/>
        <w:jc w:val="both"/>
      </w:pPr>
      <w:r w:rsidRPr="001C6050">
        <w:rPr>
          <w:spacing w:val="-2"/>
        </w:rPr>
        <w:t>Відповідальний</w:t>
      </w:r>
      <w:r w:rsidRPr="001C6050">
        <w:rPr>
          <w:spacing w:val="10"/>
        </w:rPr>
        <w:t xml:space="preserve"> </w:t>
      </w:r>
      <w:r w:rsidRPr="001C6050">
        <w:rPr>
          <w:spacing w:val="-2"/>
        </w:rPr>
        <w:t>секретар</w:t>
      </w:r>
      <w:r w:rsidRPr="001C6050">
        <w:tab/>
        <w:t>Тетяна</w:t>
      </w:r>
      <w:r w:rsidRPr="001C6050">
        <w:rPr>
          <w:spacing w:val="-8"/>
        </w:rPr>
        <w:t xml:space="preserve"> </w:t>
      </w:r>
      <w:r w:rsidR="00B56C44" w:rsidRPr="001C6050">
        <w:rPr>
          <w:spacing w:val="-2"/>
        </w:rPr>
        <w:t>ЛОБУНЕЦЬ</w:t>
      </w:r>
    </w:p>
    <w:sectPr w:rsidR="00BB73C8" w:rsidRPr="001C6050" w:rsidSect="00A73922">
      <w:pgSz w:w="11910" w:h="16840"/>
      <w:pgMar w:top="1380" w:right="1140" w:bottom="1134" w:left="13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007"/>
    <w:multiLevelType w:val="hybridMultilevel"/>
    <w:tmpl w:val="BF8E2E72"/>
    <w:lvl w:ilvl="0" w:tplc="520C2074">
      <w:start w:val="1"/>
      <w:numFmt w:val="decimal"/>
      <w:lvlText w:val="%1."/>
      <w:lvlJc w:val="left"/>
      <w:pPr>
        <w:ind w:left="13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57FA75D2">
      <w:numFmt w:val="bullet"/>
      <w:lvlText w:val="•"/>
      <w:lvlJc w:val="left"/>
      <w:pPr>
        <w:ind w:left="2202" w:hanging="709"/>
      </w:pPr>
      <w:rPr>
        <w:rFonts w:hint="default"/>
        <w:lang w:val="uk-UA" w:eastAsia="en-US" w:bidi="ar-SA"/>
      </w:rPr>
    </w:lvl>
    <w:lvl w:ilvl="2" w:tplc="5C72045E">
      <w:numFmt w:val="bullet"/>
      <w:lvlText w:val="•"/>
      <w:lvlJc w:val="left"/>
      <w:pPr>
        <w:ind w:left="3005" w:hanging="709"/>
      </w:pPr>
      <w:rPr>
        <w:rFonts w:hint="default"/>
        <w:lang w:val="uk-UA" w:eastAsia="en-US" w:bidi="ar-SA"/>
      </w:rPr>
    </w:lvl>
    <w:lvl w:ilvl="3" w:tplc="FF1221E6">
      <w:numFmt w:val="bullet"/>
      <w:lvlText w:val="•"/>
      <w:lvlJc w:val="left"/>
      <w:pPr>
        <w:ind w:left="3807" w:hanging="709"/>
      </w:pPr>
      <w:rPr>
        <w:rFonts w:hint="default"/>
        <w:lang w:val="uk-UA" w:eastAsia="en-US" w:bidi="ar-SA"/>
      </w:rPr>
    </w:lvl>
    <w:lvl w:ilvl="4" w:tplc="F7B43944">
      <w:numFmt w:val="bullet"/>
      <w:lvlText w:val="•"/>
      <w:lvlJc w:val="left"/>
      <w:pPr>
        <w:ind w:left="4610" w:hanging="709"/>
      </w:pPr>
      <w:rPr>
        <w:rFonts w:hint="default"/>
        <w:lang w:val="uk-UA" w:eastAsia="en-US" w:bidi="ar-SA"/>
      </w:rPr>
    </w:lvl>
    <w:lvl w:ilvl="5" w:tplc="5B16F8EC">
      <w:numFmt w:val="bullet"/>
      <w:lvlText w:val="•"/>
      <w:lvlJc w:val="left"/>
      <w:pPr>
        <w:ind w:left="5412" w:hanging="709"/>
      </w:pPr>
      <w:rPr>
        <w:rFonts w:hint="default"/>
        <w:lang w:val="uk-UA" w:eastAsia="en-US" w:bidi="ar-SA"/>
      </w:rPr>
    </w:lvl>
    <w:lvl w:ilvl="6" w:tplc="090EA0B2">
      <w:numFmt w:val="bullet"/>
      <w:lvlText w:val="•"/>
      <w:lvlJc w:val="left"/>
      <w:pPr>
        <w:ind w:left="6215" w:hanging="709"/>
      </w:pPr>
      <w:rPr>
        <w:rFonts w:hint="default"/>
        <w:lang w:val="uk-UA" w:eastAsia="en-US" w:bidi="ar-SA"/>
      </w:rPr>
    </w:lvl>
    <w:lvl w:ilvl="7" w:tplc="4FE811CE">
      <w:numFmt w:val="bullet"/>
      <w:lvlText w:val="•"/>
      <w:lvlJc w:val="left"/>
      <w:pPr>
        <w:ind w:left="7017" w:hanging="709"/>
      </w:pPr>
      <w:rPr>
        <w:rFonts w:hint="default"/>
        <w:lang w:val="uk-UA" w:eastAsia="en-US" w:bidi="ar-SA"/>
      </w:rPr>
    </w:lvl>
    <w:lvl w:ilvl="8" w:tplc="5532CDB6">
      <w:numFmt w:val="bullet"/>
      <w:lvlText w:val="•"/>
      <w:lvlJc w:val="left"/>
      <w:pPr>
        <w:ind w:left="7820" w:hanging="709"/>
      </w:pPr>
      <w:rPr>
        <w:rFonts w:hint="default"/>
        <w:lang w:val="uk-UA" w:eastAsia="en-US" w:bidi="ar-SA"/>
      </w:rPr>
    </w:lvl>
  </w:abstractNum>
  <w:abstractNum w:abstractNumId="1">
    <w:nsid w:val="326F0D8A"/>
    <w:multiLevelType w:val="multilevel"/>
    <w:tmpl w:val="1A6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54220"/>
    <w:multiLevelType w:val="multilevel"/>
    <w:tmpl w:val="EF22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3C8"/>
    <w:rsid w:val="0009403A"/>
    <w:rsid w:val="001C6050"/>
    <w:rsid w:val="00316387"/>
    <w:rsid w:val="007B5F07"/>
    <w:rsid w:val="008F21C9"/>
    <w:rsid w:val="00A73922"/>
    <w:rsid w:val="00B56C44"/>
    <w:rsid w:val="00BB73C8"/>
    <w:rsid w:val="00C06F19"/>
    <w:rsid w:val="00C11289"/>
    <w:rsid w:val="00D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10" w:right="67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27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C112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C11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10" w:right="67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27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C112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C1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225F-F864-42A9-BC03-E510EB4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Резолюція.docx</vt:lpstr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Резолюція.docx</dc:title>
  <dc:creator>Samsung e5c</dc:creator>
  <cp:lastModifiedBy>Samsung e5c</cp:lastModifiedBy>
  <cp:revision>4</cp:revision>
  <cp:lastPrinted>2023-12-13T12:37:00Z</cp:lastPrinted>
  <dcterms:created xsi:type="dcterms:W3CDTF">2024-11-27T10:48:00Z</dcterms:created>
  <dcterms:modified xsi:type="dcterms:W3CDTF">2024-11-27T12:36:00Z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Word</vt:lpwstr>
  </property>
  <property fmtid="{D5CDD505-2E9C-101B-9397-08002B2CF9AE}" pid="4" name="LastSaved">
    <vt:filetime>2023-12-09T00:00:00Z</vt:filetime>
  </property>
  <property fmtid="{D5CDD505-2E9C-101B-9397-08002B2CF9AE}" pid="5" name="Producer">
    <vt:lpwstr>macOS Version 11.7 (Build 20G817) Quartz PDFContext</vt:lpwstr>
  </property>
</Properties>
</file>