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066" w:rsidRDefault="00B823BD">
      <w:pPr>
        <w:rPr>
          <w:lang w:val="uk-UA"/>
        </w:rPr>
      </w:pPr>
      <w:r>
        <w:rPr>
          <w:noProof/>
          <w:lang w:eastAsia="ru-RU"/>
        </w:rPr>
        <w:drawing>
          <wp:inline distT="0" distB="0" distL="0" distR="0" wp14:anchorId="2EA1B8F1" wp14:editId="15ACCDBA">
            <wp:extent cx="5940425" cy="840440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940425" cy="8404404"/>
                    </a:xfrm>
                    <a:prstGeom prst="rect">
                      <a:avLst/>
                    </a:prstGeom>
                  </pic:spPr>
                </pic:pic>
              </a:graphicData>
            </a:graphic>
          </wp:inline>
        </w:drawing>
      </w:r>
    </w:p>
    <w:p w:rsidR="00B823BD" w:rsidRDefault="00B823BD">
      <w:pPr>
        <w:rPr>
          <w:lang w:val="uk-UA"/>
        </w:rPr>
      </w:pPr>
    </w:p>
    <w:p w:rsidR="00B823BD" w:rsidRDefault="00B823BD">
      <w:pPr>
        <w:rPr>
          <w:lang w:val="uk-UA"/>
        </w:rPr>
      </w:pPr>
    </w:p>
    <w:p w:rsidR="00B823BD" w:rsidRPr="00B823BD" w:rsidRDefault="00B823BD" w:rsidP="00B823BD">
      <w:pPr>
        <w:rPr>
          <w:rFonts w:ascii="Times New Roman" w:hAnsi="Times New Roman" w:cs="Times New Roman"/>
          <w:b/>
          <w:sz w:val="28"/>
          <w:szCs w:val="28"/>
          <w:lang w:val="uk-UA"/>
        </w:rPr>
      </w:pPr>
      <w:r w:rsidRPr="00B823BD">
        <w:rPr>
          <w:rFonts w:ascii="Times New Roman" w:hAnsi="Times New Roman" w:cs="Times New Roman"/>
          <w:b/>
          <w:sz w:val="28"/>
          <w:szCs w:val="28"/>
          <w:lang w:val="uk-UA"/>
        </w:rPr>
        <w:lastRenderedPageBreak/>
        <w:t xml:space="preserve">УДК 34:63:502.131.1(1-22) </w:t>
      </w:r>
    </w:p>
    <w:p w:rsidR="00B823BD" w:rsidRPr="00B823BD" w:rsidRDefault="00B823BD" w:rsidP="00894860">
      <w:pPr>
        <w:jc w:val="both"/>
        <w:rPr>
          <w:rFonts w:ascii="Times New Roman" w:hAnsi="Times New Roman" w:cs="Times New Roman"/>
          <w:sz w:val="28"/>
          <w:szCs w:val="28"/>
          <w:lang w:val="uk-UA"/>
        </w:rPr>
      </w:pPr>
      <w:bookmarkStart w:id="0" w:name="_GoBack"/>
      <w:r w:rsidRPr="00894860">
        <w:rPr>
          <w:rFonts w:ascii="Times New Roman" w:hAnsi="Times New Roman" w:cs="Times New Roman"/>
          <w:b/>
          <w:sz w:val="28"/>
          <w:szCs w:val="28"/>
          <w:lang w:val="uk-UA"/>
        </w:rPr>
        <w:t>Я 75</w:t>
      </w:r>
      <w:r>
        <w:rPr>
          <w:rFonts w:ascii="Times New Roman" w:hAnsi="Times New Roman" w:cs="Times New Roman"/>
          <w:sz w:val="28"/>
          <w:szCs w:val="28"/>
          <w:lang w:val="uk-UA"/>
        </w:rPr>
        <w:t xml:space="preserve">  </w:t>
      </w:r>
      <w:r w:rsidRPr="00B823BD">
        <w:rPr>
          <w:rFonts w:ascii="Times New Roman" w:hAnsi="Times New Roman" w:cs="Times New Roman"/>
          <w:sz w:val="28"/>
          <w:szCs w:val="28"/>
          <w:lang w:val="uk-UA"/>
        </w:rPr>
        <w:t xml:space="preserve"> </w:t>
      </w:r>
      <w:bookmarkEnd w:id="0"/>
      <w:proofErr w:type="spellStart"/>
      <w:r w:rsidRPr="00B823BD">
        <w:rPr>
          <w:rFonts w:ascii="Times New Roman" w:hAnsi="Times New Roman" w:cs="Times New Roman"/>
          <w:sz w:val="28"/>
          <w:szCs w:val="28"/>
          <w:lang w:val="uk-UA"/>
        </w:rPr>
        <w:t>Ермоленко</w:t>
      </w:r>
      <w:proofErr w:type="spellEnd"/>
      <w:r w:rsidRPr="00B823BD">
        <w:rPr>
          <w:rFonts w:ascii="Times New Roman" w:hAnsi="Times New Roman" w:cs="Times New Roman"/>
          <w:sz w:val="28"/>
          <w:szCs w:val="28"/>
          <w:lang w:val="uk-UA"/>
        </w:rPr>
        <w:t xml:space="preserve"> В.М, Мартинова Н.О. Сталий розвиток сільських </w:t>
      </w:r>
      <w:r>
        <w:rPr>
          <w:rFonts w:ascii="Times New Roman" w:hAnsi="Times New Roman" w:cs="Times New Roman"/>
          <w:sz w:val="28"/>
          <w:szCs w:val="28"/>
          <w:lang w:val="uk-UA"/>
        </w:rPr>
        <w:t>територій: правові аспект: Моног</w:t>
      </w:r>
      <w:r w:rsidRPr="00B823BD">
        <w:rPr>
          <w:rFonts w:ascii="Times New Roman" w:hAnsi="Times New Roman" w:cs="Times New Roman"/>
          <w:sz w:val="28"/>
          <w:szCs w:val="28"/>
          <w:lang w:val="uk-UA"/>
        </w:rPr>
        <w:t xml:space="preserve">рафія. К.: ЦП </w:t>
      </w:r>
      <w:proofErr w:type="spellStart"/>
      <w:r w:rsidRPr="00B823BD">
        <w:rPr>
          <w:rFonts w:ascii="Times New Roman" w:hAnsi="Times New Roman" w:cs="Times New Roman"/>
          <w:sz w:val="28"/>
          <w:szCs w:val="28"/>
          <w:lang w:val="uk-UA"/>
        </w:rPr>
        <w:t>Компринт</w:t>
      </w:r>
      <w:proofErr w:type="spellEnd"/>
      <w:r w:rsidRPr="00B823BD">
        <w:rPr>
          <w:rFonts w:ascii="Times New Roman" w:hAnsi="Times New Roman" w:cs="Times New Roman"/>
          <w:sz w:val="28"/>
          <w:szCs w:val="28"/>
          <w:lang w:val="uk-UA"/>
        </w:rPr>
        <w:t>, 2017.</w:t>
      </w:r>
      <w:r>
        <w:rPr>
          <w:rFonts w:ascii="Times New Roman" w:hAnsi="Times New Roman" w:cs="Times New Roman"/>
          <w:sz w:val="28"/>
          <w:szCs w:val="28"/>
          <w:lang w:val="uk-UA"/>
        </w:rPr>
        <w:t xml:space="preserve"> </w:t>
      </w:r>
      <w:r w:rsidRPr="00B823BD">
        <w:rPr>
          <w:rFonts w:ascii="Times New Roman" w:hAnsi="Times New Roman" w:cs="Times New Roman"/>
          <w:sz w:val="28"/>
          <w:szCs w:val="28"/>
          <w:lang w:val="uk-UA"/>
        </w:rPr>
        <w:t>184 с.</w:t>
      </w:r>
    </w:p>
    <w:p w:rsidR="00B823BD" w:rsidRPr="00B823BD" w:rsidRDefault="00B823BD" w:rsidP="00B823BD">
      <w:pPr>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Монографія є першим в Україні комплексним науковим дослідження правого забезпечення розвитку сільських територій на засадах сталого розвитку.  На основі сучасних методологічних підходів, аналізу теоретичних джерел аграрного, земельного та екологічного права, норм відповідного законодавства розкритого правову природу сталого розвитку сільських територій і визначено місце сукупності правових норм, що регулюють відносини при сталому розвитку сільських територій у системі права України. Здійснено правовий аналіз сучасного стану законодавства та перспективи нормативно-правової регламентації розвитку сільських територій на принципах сталого розвитку, з метою визначення прогалини і колізій для формування пропозицій з їх усунення; </w:t>
      </w:r>
      <w:r w:rsidR="00830748">
        <w:rPr>
          <w:rFonts w:ascii="Times New Roman" w:hAnsi="Times New Roman" w:cs="Times New Roman"/>
          <w:sz w:val="28"/>
          <w:szCs w:val="28"/>
          <w:lang w:val="uk-UA"/>
        </w:rPr>
        <w:t>виокремлено особливості правового регулювання окремих сфер сталого розвитку сільських територій в Україні.</w:t>
      </w:r>
    </w:p>
    <w:sectPr w:rsidR="00B823BD" w:rsidRPr="00B823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18C"/>
    <w:rsid w:val="0016528A"/>
    <w:rsid w:val="00412E03"/>
    <w:rsid w:val="00417679"/>
    <w:rsid w:val="00830748"/>
    <w:rsid w:val="00894860"/>
    <w:rsid w:val="008D0390"/>
    <w:rsid w:val="009E318C"/>
    <w:rsid w:val="00B13066"/>
    <w:rsid w:val="00B507D2"/>
    <w:rsid w:val="00B823BD"/>
    <w:rsid w:val="00DD4E8D"/>
    <w:rsid w:val="00ED3E44"/>
    <w:rsid w:val="00F05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4E8B2F-1882-481B-B48C-6860BCC1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23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23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149</Words>
  <Characters>854</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NTI_Natasha</cp:lastModifiedBy>
  <cp:revision>4</cp:revision>
  <dcterms:created xsi:type="dcterms:W3CDTF">2018-02-01T11:54:00Z</dcterms:created>
  <dcterms:modified xsi:type="dcterms:W3CDTF">2018-02-27T07:30:00Z</dcterms:modified>
</cp:coreProperties>
</file>