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983D" w14:textId="77777777" w:rsidR="00A13899" w:rsidRPr="00A71D92" w:rsidRDefault="00A13899" w:rsidP="00A13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A13899" w:rsidRPr="000F7AD8" w14:paraId="53ACEB84" w14:textId="77777777" w:rsidTr="004B25F4">
        <w:tc>
          <w:tcPr>
            <w:tcW w:w="2978" w:type="dxa"/>
            <w:vMerge w:val="restart"/>
          </w:tcPr>
          <w:p w14:paraId="0F20133C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1DF4A5" wp14:editId="573F30E3">
                  <wp:extent cx="1004570" cy="1014730"/>
                  <wp:effectExtent l="0" t="0" r="5080" b="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5C8EABAD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0D3955B2" w14:textId="77777777" w:rsidR="006C058C" w:rsidRPr="006C058C" w:rsidRDefault="006C058C" w:rsidP="006C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58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6C058C">
              <w:rPr>
                <w:rFonts w:ascii="Times New Roman" w:hAnsi="Times New Roman"/>
                <w:b/>
                <w:sz w:val="28"/>
                <w:szCs w:val="28"/>
              </w:rPr>
              <w:t xml:space="preserve">Промислове виробництво  лікарських </w:t>
            </w:r>
          </w:p>
          <w:p w14:paraId="6B99452F" w14:textId="77777777" w:rsidR="006C058C" w:rsidRPr="006C058C" w:rsidRDefault="006C058C" w:rsidP="006C0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58C">
              <w:rPr>
                <w:rFonts w:ascii="Times New Roman" w:hAnsi="Times New Roman"/>
                <w:b/>
                <w:sz w:val="28"/>
                <w:szCs w:val="28"/>
              </w:rPr>
              <w:t xml:space="preserve">та  </w:t>
            </w:r>
            <w:proofErr w:type="spellStart"/>
            <w:r w:rsidRPr="006C058C">
              <w:rPr>
                <w:rFonts w:ascii="Times New Roman" w:hAnsi="Times New Roman"/>
                <w:b/>
                <w:sz w:val="28"/>
                <w:szCs w:val="28"/>
              </w:rPr>
              <w:t>нішевих</w:t>
            </w:r>
            <w:proofErr w:type="spellEnd"/>
            <w:r w:rsidRPr="006C058C">
              <w:rPr>
                <w:rFonts w:ascii="Times New Roman" w:hAnsi="Times New Roman"/>
                <w:b/>
                <w:sz w:val="28"/>
                <w:szCs w:val="28"/>
              </w:rPr>
              <w:t xml:space="preserve"> культур»</w:t>
            </w:r>
          </w:p>
          <w:p w14:paraId="685D059B" w14:textId="74A230DC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899" w:rsidRPr="000F7AD8" w14:paraId="7BD52F15" w14:textId="77777777" w:rsidTr="004B25F4">
        <w:tc>
          <w:tcPr>
            <w:tcW w:w="2978" w:type="dxa"/>
            <w:vMerge/>
          </w:tcPr>
          <w:p w14:paraId="2BD4097C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07CAE6C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C0694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13899" w:rsidRPr="000F7AD8" w14:paraId="0F1F6743" w14:textId="77777777" w:rsidTr="004B25F4">
        <w:tc>
          <w:tcPr>
            <w:tcW w:w="2978" w:type="dxa"/>
            <w:vMerge/>
          </w:tcPr>
          <w:p w14:paraId="3C7C43B2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63DE24D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D76425" w:rsidRPr="000F7AD8">
              <w:rPr>
                <w:rFonts w:ascii="Times New Roman" w:hAnsi="Times New Roman"/>
                <w:b/>
                <w:sz w:val="24"/>
                <w:szCs w:val="24"/>
              </w:rPr>
              <w:t>«Агрономія»</w:t>
            </w:r>
          </w:p>
        </w:tc>
      </w:tr>
      <w:tr w:rsidR="00A13899" w:rsidRPr="000F7AD8" w14:paraId="4DCAE3A1" w14:textId="77777777" w:rsidTr="004B25F4">
        <w:tc>
          <w:tcPr>
            <w:tcW w:w="2978" w:type="dxa"/>
            <w:vMerge/>
          </w:tcPr>
          <w:p w14:paraId="42C92D29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AD66419" w14:textId="124801AE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D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372DAD" w:rsidRPr="000F7AD8">
              <w:rPr>
                <w:rFonts w:ascii="Times New Roman" w:hAnsi="Times New Roman"/>
                <w:b/>
                <w:sz w:val="24"/>
                <w:szCs w:val="24"/>
              </w:rPr>
              <w:t>«Агрономія»</w:t>
            </w:r>
          </w:p>
        </w:tc>
      </w:tr>
      <w:tr w:rsidR="00A13899" w:rsidRPr="000F7AD8" w14:paraId="45ED3D7C" w14:textId="77777777" w:rsidTr="004B25F4">
        <w:tc>
          <w:tcPr>
            <w:tcW w:w="2978" w:type="dxa"/>
            <w:vMerge/>
          </w:tcPr>
          <w:p w14:paraId="7B8B7B70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10B83BB" w14:textId="7F0303CD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BC0A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21C96325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Форма навчання денна/заочна</w:t>
            </w:r>
          </w:p>
        </w:tc>
      </w:tr>
      <w:tr w:rsidR="00A13899" w:rsidRPr="000F7AD8" w14:paraId="47BB85AB" w14:textId="77777777" w:rsidTr="004B25F4">
        <w:tc>
          <w:tcPr>
            <w:tcW w:w="2978" w:type="dxa"/>
            <w:vMerge/>
          </w:tcPr>
          <w:p w14:paraId="395C9CFB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0FF2858" w14:textId="27D2E740" w:rsidR="00A13899" w:rsidRPr="000F7AD8" w:rsidRDefault="00100242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242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кредитів ЄКТС </w:t>
            </w:r>
            <w:r w:rsidR="00BC0A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3899" w:rsidRPr="000F7AD8" w14:paraId="12130BCD" w14:textId="77777777" w:rsidTr="004B25F4">
        <w:tc>
          <w:tcPr>
            <w:tcW w:w="2978" w:type="dxa"/>
            <w:vMerge/>
          </w:tcPr>
          <w:p w14:paraId="0003D8D3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EA1D91D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Мова викладання українська</w:t>
            </w:r>
          </w:p>
        </w:tc>
      </w:tr>
      <w:tr w:rsidR="00A13899" w:rsidRPr="000F7AD8" w14:paraId="5EC52D60" w14:textId="77777777" w:rsidTr="004B25F4">
        <w:tc>
          <w:tcPr>
            <w:tcW w:w="2978" w:type="dxa"/>
          </w:tcPr>
          <w:p w14:paraId="7FB865BD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AD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6023F6F0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13899" w:rsidRPr="000F7AD8" w14:paraId="0AFABA48" w14:textId="77777777" w:rsidTr="004B25F4">
        <w:tc>
          <w:tcPr>
            <w:tcW w:w="2978" w:type="dxa"/>
          </w:tcPr>
          <w:p w14:paraId="4D6AB40F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18A8AC7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Старший викладач, кандидат сільськогосподарських наук, Карпенко Людмила Дмитрівна </w:t>
            </w:r>
          </w:p>
        </w:tc>
      </w:tr>
      <w:tr w:rsidR="00A13899" w:rsidRPr="000F7AD8" w14:paraId="1224CC89" w14:textId="77777777" w:rsidTr="004B25F4">
        <w:tc>
          <w:tcPr>
            <w:tcW w:w="2978" w:type="dxa"/>
          </w:tcPr>
          <w:p w14:paraId="4FC9024B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6D69E28A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Karpenko.lu7@gmail.com</w:t>
            </w:r>
          </w:p>
        </w:tc>
      </w:tr>
      <w:tr w:rsidR="00A13899" w:rsidRPr="000F7AD8" w14:paraId="3B424A87" w14:textId="77777777" w:rsidTr="004B25F4">
        <w:tc>
          <w:tcPr>
            <w:tcW w:w="2978" w:type="dxa"/>
          </w:tcPr>
          <w:p w14:paraId="28C755C0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Сторінка курсу в</w:t>
            </w:r>
            <w:r w:rsidRPr="000F7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eLearn </w:t>
            </w:r>
          </w:p>
        </w:tc>
        <w:tc>
          <w:tcPr>
            <w:tcW w:w="6911" w:type="dxa"/>
          </w:tcPr>
          <w:p w14:paraId="02316026" w14:textId="75DCBCD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31E3C6" w14:textId="77777777" w:rsidR="00A13899" w:rsidRPr="00A71D92" w:rsidRDefault="00A13899" w:rsidP="00A13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C25C2" w14:textId="7C6F488D" w:rsidR="00A13899" w:rsidRDefault="00A13899" w:rsidP="00A1389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543F436E" w14:textId="77777777" w:rsidR="00372DAD" w:rsidRDefault="00372DAD" w:rsidP="00A1389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522310C8" w14:textId="77777777" w:rsidR="00372DAD" w:rsidRPr="00372DAD" w:rsidRDefault="00372DAD" w:rsidP="00372DAD">
      <w:pPr>
        <w:pStyle w:val="Default"/>
        <w:ind w:firstLine="720"/>
        <w:rPr>
          <w:color w:val="auto"/>
          <w:lang w:val="uk-UA"/>
        </w:rPr>
      </w:pPr>
      <w:r w:rsidRPr="00372DAD">
        <w:rPr>
          <w:color w:val="auto"/>
          <w:lang w:val="uk-UA"/>
        </w:rPr>
        <w:t xml:space="preserve">Курс спрямований на ознайомлення та оволодіння студентами базових знань про загальні особливості лікарських та </w:t>
      </w:r>
      <w:proofErr w:type="spellStart"/>
      <w:r w:rsidRPr="00372DAD">
        <w:rPr>
          <w:color w:val="auto"/>
          <w:lang w:val="uk-UA"/>
        </w:rPr>
        <w:t>нішевих</w:t>
      </w:r>
      <w:proofErr w:type="spellEnd"/>
      <w:r w:rsidRPr="00372DAD">
        <w:rPr>
          <w:color w:val="auto"/>
          <w:lang w:val="uk-UA"/>
        </w:rPr>
        <w:t xml:space="preserve"> рослин, їх морфологічну характеристику, класифікацію, форми розмноження, основи фізіології рослин, агротехнічні основи вирощування, заготівлю  та зберігання лікарської рослинної сировини у виробничих умовах з врахуванням їх біологічних особливостей.</w:t>
      </w:r>
    </w:p>
    <w:p w14:paraId="576C0A86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Набуття </w:t>
      </w:r>
      <w:proofErr w:type="spellStart"/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компетентностей</w:t>
      </w:r>
      <w:proofErr w:type="spellEnd"/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</w:p>
    <w:p w14:paraId="66DC9C0E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інтегральна компетентність (ІК):</w:t>
      </w:r>
    </w:p>
    <w:p w14:paraId="385BBC13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ІК Здатність особи розв’язувати типові спеціалізовані задачі агрономії або у процесі навчання, що вимагає застосування положень і методів аграрної науки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 </w:t>
      </w:r>
    </w:p>
    <w:p w14:paraId="324AE977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ab/>
        <w:t>загальні компетентності (ЗК):</w:t>
      </w:r>
    </w:p>
    <w:p w14:paraId="7EEB356C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ЗК7. Здатність застосовувати знання у практичних ситуаціях.</w:t>
      </w:r>
    </w:p>
    <w:p w14:paraId="206D5D1C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ЗК11. Прагнення до збереження навколишнього середовища.</w:t>
      </w:r>
    </w:p>
    <w:p w14:paraId="1E99ABCD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фахові  (спеціальні) компетентності (ФК):</w:t>
      </w:r>
    </w:p>
    <w:p w14:paraId="0860ACE5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СК2. Здатність вирощувати, розмножувати сільськогосподарські культури та здійснювати технологічні операції з первинної переробки і зберігання</w:t>
      </w:r>
    </w:p>
    <w:p w14:paraId="7FD5835C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продукції.</w:t>
      </w:r>
    </w:p>
    <w:p w14:paraId="3D1D6D23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СК3. Знання та розуміння основних біологічних і агротехнологічних концепцій, правил і теорій, пов’язаних із вирощуванням сільськогосподарських та інших рослин. </w:t>
      </w:r>
    </w:p>
    <w:p w14:paraId="2CF0B65A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9905DFC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Програмні результати навчання (ПРН):</w:t>
      </w:r>
    </w:p>
    <w:p w14:paraId="2272445F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РН 9. Володіти на операційному рівні методами спостереження, опису, ідентифікації, класифікації, а також культивування об’єктів і підтримання стабільності агроценозів із збереженням природного різноманіття.</w:t>
      </w:r>
    </w:p>
    <w:p w14:paraId="14B5B05B" w14:textId="77777777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РН11. Ініціювати оперативне та доцільне вирішення виробничих проблем відповідно до зональних умов.</w:t>
      </w:r>
    </w:p>
    <w:p w14:paraId="29413CA6" w14:textId="193B3D3F" w:rsidR="00A13899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DAD">
        <w:rPr>
          <w:rFonts w:ascii="Times New Roman" w:hAnsi="Times New Roman"/>
          <w:bCs/>
          <w:color w:val="000000" w:themeColor="text1"/>
          <w:sz w:val="24"/>
          <w:szCs w:val="24"/>
        </w:rPr>
        <w:t>РН16. Організовувати результативні і безпечні умови роботи.</w:t>
      </w:r>
    </w:p>
    <w:p w14:paraId="22523CEA" w14:textId="47F7B0A1" w:rsidR="00372DAD" w:rsidRPr="00372DAD" w:rsidRDefault="00372DAD" w:rsidP="00372DAD">
      <w:pPr>
        <w:spacing w:after="0" w:line="240" w:lineRule="auto"/>
        <w:ind w:firstLine="85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43FDF3E" w14:textId="2163FD54" w:rsidR="00372DAD" w:rsidRDefault="00372DAD" w:rsidP="00372DAD">
      <w:pPr>
        <w:spacing w:after="0" w:line="240" w:lineRule="auto"/>
        <w:ind w:firstLine="851"/>
        <w:rPr>
          <w:rFonts w:ascii="Times New Roman" w:hAnsi="Times New Roman"/>
          <w:b/>
          <w:color w:val="17365D"/>
          <w:sz w:val="24"/>
          <w:szCs w:val="24"/>
        </w:rPr>
      </w:pPr>
    </w:p>
    <w:p w14:paraId="13FA5503" w14:textId="059C113C" w:rsidR="00372DAD" w:rsidRDefault="00372DAD" w:rsidP="00372DA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14:paraId="4F4DE6AA" w14:textId="7A96E69D" w:rsidR="00372DAD" w:rsidRDefault="00372DAD" w:rsidP="00372DA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14:paraId="0A1A1398" w14:textId="256E59C1" w:rsidR="00372DAD" w:rsidRDefault="00372DAD" w:rsidP="00372DA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14:paraId="1576090C" w14:textId="77777777" w:rsidR="00372DAD" w:rsidRPr="00581698" w:rsidRDefault="00372DAD" w:rsidP="00372DA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14:paraId="3F4AE1C9" w14:textId="77777777" w:rsidR="00A13899" w:rsidRPr="00F82151" w:rsidRDefault="00A13899" w:rsidP="00A1389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СТРУКТУРА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1922"/>
        <w:gridCol w:w="3552"/>
        <w:gridCol w:w="2476"/>
        <w:gridCol w:w="1787"/>
      </w:tblGrid>
      <w:tr w:rsidR="00A13899" w:rsidRPr="000F7AD8" w14:paraId="2DB70264" w14:textId="77777777" w:rsidTr="004B25F4">
        <w:tc>
          <w:tcPr>
            <w:tcW w:w="5532" w:type="dxa"/>
            <w:vAlign w:val="center"/>
          </w:tcPr>
          <w:p w14:paraId="36C4B1D0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14:paraId="32E65194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48D46C83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AD8">
              <w:rPr>
                <w:rFonts w:ascii="Times New Roman" w:hAnsi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3552" w:type="dxa"/>
            <w:vAlign w:val="center"/>
          </w:tcPr>
          <w:p w14:paraId="1853BDF3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476" w:type="dxa"/>
            <w:vAlign w:val="center"/>
          </w:tcPr>
          <w:p w14:paraId="5FAADD61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87" w:type="dxa"/>
            <w:vAlign w:val="center"/>
          </w:tcPr>
          <w:p w14:paraId="38FBC4BB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13899" w:rsidRPr="000F7AD8" w14:paraId="13164AB4" w14:textId="77777777" w:rsidTr="004B25F4">
        <w:tc>
          <w:tcPr>
            <w:tcW w:w="15269" w:type="dxa"/>
            <w:gridSpan w:val="5"/>
          </w:tcPr>
          <w:p w14:paraId="60E3829A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13899" w:rsidRPr="000F7AD8" w14:paraId="05BCEFBE" w14:textId="77777777" w:rsidTr="004B25F4">
        <w:tc>
          <w:tcPr>
            <w:tcW w:w="15269" w:type="dxa"/>
            <w:gridSpan w:val="5"/>
          </w:tcPr>
          <w:p w14:paraId="593C9F6D" w14:textId="6C9923C3" w:rsidR="00A13899" w:rsidRPr="000F7AD8" w:rsidRDefault="00514652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652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Змістовий модуль 1. Природні ресурси  лікарських рослин і їх раціональне використання</w:t>
            </w:r>
          </w:p>
        </w:tc>
      </w:tr>
      <w:tr w:rsidR="001A34EA" w:rsidRPr="000F7AD8" w14:paraId="3B120F2E" w14:textId="77777777" w:rsidTr="004B25F4">
        <w:tc>
          <w:tcPr>
            <w:tcW w:w="5532" w:type="dxa"/>
          </w:tcPr>
          <w:p w14:paraId="3C460904" w14:textId="3CFC52E1" w:rsidR="001A34EA" w:rsidRPr="009F11BC" w:rsidRDefault="009F11BC" w:rsidP="009F11BC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F11BC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9F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EA" w:rsidRPr="009F11BC">
              <w:rPr>
                <w:rFonts w:ascii="Times New Roman" w:hAnsi="Times New Roman"/>
                <w:sz w:val="24"/>
                <w:szCs w:val="24"/>
              </w:rPr>
              <w:t>Лікарські рослини різних екосистем. Класифікація.</w:t>
            </w:r>
          </w:p>
        </w:tc>
        <w:tc>
          <w:tcPr>
            <w:tcW w:w="1922" w:type="dxa"/>
          </w:tcPr>
          <w:p w14:paraId="65D4B2BF" w14:textId="77777777" w:rsidR="001A34EA" w:rsidRPr="000F7AD8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A307D" w14:textId="77777777" w:rsidR="001A34EA" w:rsidRPr="000F7AD8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3552" w:type="dxa"/>
          </w:tcPr>
          <w:p w14:paraId="0D0FA3EB" w14:textId="23914B24" w:rsidR="001A34EA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Знати: </w:t>
            </w:r>
            <w:r w:rsidR="009F11BC">
              <w:rPr>
                <w:rFonts w:ascii="Times New Roman" w:hAnsi="Times New Roman"/>
                <w:sz w:val="24"/>
                <w:szCs w:val="24"/>
              </w:rPr>
              <w:t>Класифікацію рослин та її приналежність до екосистем.</w:t>
            </w:r>
          </w:p>
          <w:p w14:paraId="6162D0EC" w14:textId="7BD1F06E" w:rsidR="001A34EA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 визначати належність ЛР до різних екосистем.</w:t>
            </w:r>
          </w:p>
          <w:p w14:paraId="6C8302D9" w14:textId="0C3FF7BC" w:rsidR="001A34EA" w:rsidRPr="000F7AD8" w:rsidRDefault="001A34EA" w:rsidP="009F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9113E0F" w14:textId="2EA43B32" w:rsidR="001A34EA" w:rsidRPr="000F7AD8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 xml:space="preserve">Здача </w:t>
            </w:r>
            <w:r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0F7AD8">
              <w:rPr>
                <w:rFonts w:ascii="Times New Roman" w:hAnsi="Times New Roman"/>
                <w:sz w:val="24"/>
                <w:szCs w:val="24"/>
              </w:rPr>
              <w:t xml:space="preserve"> робіт </w:t>
            </w:r>
            <w:r>
              <w:rPr>
                <w:rFonts w:ascii="Times New Roman" w:hAnsi="Times New Roman"/>
                <w:sz w:val="24"/>
                <w:szCs w:val="24"/>
              </w:rPr>
              <w:t>вміти визначати та класифікувати рослини за екосистемою</w:t>
            </w:r>
          </w:p>
        </w:tc>
        <w:tc>
          <w:tcPr>
            <w:tcW w:w="1787" w:type="dxa"/>
          </w:tcPr>
          <w:p w14:paraId="2586AFC6" w14:textId="77777777" w:rsidR="001A34EA" w:rsidRPr="000F7AD8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A34EA" w:rsidRPr="000F7AD8" w14:paraId="74B06FB6" w14:textId="77777777" w:rsidTr="004B25F4">
        <w:tc>
          <w:tcPr>
            <w:tcW w:w="5532" w:type="dxa"/>
          </w:tcPr>
          <w:p w14:paraId="3EDD1FCB" w14:textId="7BF7F44B" w:rsidR="001A34EA" w:rsidRPr="000F7AD8" w:rsidRDefault="001A34EA" w:rsidP="001A34EA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7AD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2. </w:t>
            </w:r>
            <w:r w:rsidR="009F11BC" w:rsidRPr="009F11B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Біологічно-активні речовини лікарських рослин. Класифікація.</w:t>
            </w:r>
          </w:p>
        </w:tc>
        <w:tc>
          <w:tcPr>
            <w:tcW w:w="1922" w:type="dxa"/>
          </w:tcPr>
          <w:p w14:paraId="44197E8B" w14:textId="77777777" w:rsidR="001A34EA" w:rsidRPr="000F7AD8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3552" w:type="dxa"/>
          </w:tcPr>
          <w:p w14:paraId="0E6C3FD3" w14:textId="77777777" w:rsidR="001A34EA" w:rsidRDefault="009F11BC" w:rsidP="001A3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 Класифікацію б</w:t>
            </w:r>
            <w:r w:rsidRPr="009F11B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іологічно-активн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их речовин.</w:t>
            </w:r>
          </w:p>
          <w:p w14:paraId="2118857F" w14:textId="1E0B66AB" w:rsidR="009F11BC" w:rsidRPr="000F7AD8" w:rsidRDefault="009F11BC" w:rsidP="001A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 визначати основні групи</w:t>
            </w:r>
            <w:r w:rsidR="00E20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411">
              <w:rPr>
                <w:rFonts w:ascii="Times New Roman" w:hAnsi="Times New Roman"/>
                <w:sz w:val="24"/>
                <w:szCs w:val="24"/>
              </w:rPr>
              <w:lastRenderedPageBreak/>
              <w:t>біологічно активних речовин, що містяться в ЛР</w:t>
            </w:r>
          </w:p>
        </w:tc>
        <w:tc>
          <w:tcPr>
            <w:tcW w:w="2476" w:type="dxa"/>
          </w:tcPr>
          <w:p w14:paraId="44C61B4C" w14:textId="5B507A73" w:rsidR="001A34EA" w:rsidRPr="000F5888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Здача практичних робіт. </w:t>
            </w:r>
            <w:r w:rsidR="000F5888"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Систематизувати та </w:t>
            </w:r>
            <w:r w:rsidR="000F5888"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класифікувати біологічно активні речовини ЛР </w:t>
            </w:r>
          </w:p>
        </w:tc>
        <w:tc>
          <w:tcPr>
            <w:tcW w:w="1787" w:type="dxa"/>
          </w:tcPr>
          <w:p w14:paraId="7F121B5B" w14:textId="77777777" w:rsidR="001A34EA" w:rsidRPr="000F7AD8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1A34EA" w:rsidRPr="00104776" w14:paraId="07924595" w14:textId="77777777" w:rsidTr="004B25F4">
        <w:tc>
          <w:tcPr>
            <w:tcW w:w="5532" w:type="dxa"/>
          </w:tcPr>
          <w:p w14:paraId="225F8A25" w14:textId="2500AC04" w:rsidR="001A34EA" w:rsidRPr="00E20411" w:rsidRDefault="001A34EA" w:rsidP="001A34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E2041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Тема 3.</w:t>
            </w:r>
            <w:r w:rsidR="00E20411" w:rsidRPr="00E20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0411" w:rsidRPr="00E20411">
              <w:rPr>
                <w:rFonts w:ascii="Times New Roman" w:hAnsi="Times New Roman"/>
                <w:sz w:val="24"/>
                <w:szCs w:val="24"/>
              </w:rPr>
              <w:t>Ріст і розвиток лікарських рослин, особливості проходження етапів органогенезу.</w:t>
            </w:r>
          </w:p>
        </w:tc>
        <w:tc>
          <w:tcPr>
            <w:tcW w:w="1922" w:type="dxa"/>
          </w:tcPr>
          <w:p w14:paraId="464371C7" w14:textId="77777777" w:rsidR="001A34EA" w:rsidRPr="006A4353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3552" w:type="dxa"/>
          </w:tcPr>
          <w:p w14:paraId="4608A361" w14:textId="52C85CAC" w:rsidR="001A34EA" w:rsidRPr="006A4353" w:rsidRDefault="00E20411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Знати:</w:t>
            </w:r>
            <w:r w:rsidR="006008B0" w:rsidRPr="006A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Фази росту і розвитку  лікарських рослин.</w:t>
            </w:r>
          </w:p>
          <w:p w14:paraId="2470ABF2" w14:textId="005833D0" w:rsidR="006008B0" w:rsidRPr="006A4353" w:rsidRDefault="006008B0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Вміти: визначати етапи органогенезу ЛР. </w:t>
            </w:r>
          </w:p>
        </w:tc>
        <w:tc>
          <w:tcPr>
            <w:tcW w:w="2476" w:type="dxa"/>
          </w:tcPr>
          <w:p w14:paraId="118135CA" w14:textId="05DC35DE" w:rsidR="001A34EA" w:rsidRPr="000F5888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Здача практичних робіт. </w:t>
            </w:r>
            <w:r w:rsidR="000F5888"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Навчитися визначати фази росту і розвитку та етапи органогенезу ЛР</w:t>
            </w:r>
          </w:p>
        </w:tc>
        <w:tc>
          <w:tcPr>
            <w:tcW w:w="1787" w:type="dxa"/>
          </w:tcPr>
          <w:p w14:paraId="24F935D0" w14:textId="3253AFC1" w:rsidR="001A34EA" w:rsidRPr="000F5888" w:rsidRDefault="000F5888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008B0" w:rsidRPr="00104776" w14:paraId="44B6E7EE" w14:textId="77777777" w:rsidTr="004B25F4">
        <w:tc>
          <w:tcPr>
            <w:tcW w:w="5532" w:type="dxa"/>
          </w:tcPr>
          <w:p w14:paraId="6F049280" w14:textId="47720447" w:rsidR="006008B0" w:rsidRPr="00E03441" w:rsidRDefault="006008B0" w:rsidP="001A34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E0344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Тема 4.</w:t>
            </w:r>
            <w:r w:rsidR="006A4353" w:rsidRPr="00E0344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A4353" w:rsidRPr="00E0344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Способи розмноження лікарських рослин (насіннєвий, розсадний, поділом кущів, частинами кореня, бульбами, кореневищами, цибулинами, їх частинами, тощо). Самозапильні </w:t>
            </w:r>
            <w:r w:rsidR="006A4353" w:rsidRPr="00E034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та перехреснозапильні види. </w:t>
            </w:r>
            <w:r w:rsidR="006A4353" w:rsidRPr="00E03441">
              <w:rPr>
                <w:rFonts w:ascii="Times New Roman" w:hAnsi="Times New Roman"/>
                <w:spacing w:val="4"/>
                <w:sz w:val="24"/>
                <w:szCs w:val="24"/>
              </w:rPr>
              <w:t>Способи</w:t>
            </w:r>
            <w:r w:rsidR="006A4353" w:rsidRPr="00E0344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практичного  управління різними системами </w:t>
            </w:r>
            <w:r w:rsidR="006A4353" w:rsidRPr="00E03441">
              <w:rPr>
                <w:rFonts w:ascii="Times New Roman" w:hAnsi="Times New Roman"/>
                <w:spacing w:val="2"/>
                <w:sz w:val="24"/>
                <w:szCs w:val="24"/>
              </w:rPr>
              <w:t>розмноження</w:t>
            </w:r>
          </w:p>
        </w:tc>
        <w:tc>
          <w:tcPr>
            <w:tcW w:w="1922" w:type="dxa"/>
          </w:tcPr>
          <w:p w14:paraId="1D7534A9" w14:textId="77777777" w:rsidR="006008B0" w:rsidRPr="00E03441" w:rsidRDefault="006008B0" w:rsidP="001A34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</w:tcPr>
          <w:p w14:paraId="3556E2D6" w14:textId="77777777" w:rsidR="000F5888" w:rsidRPr="00E03441" w:rsidRDefault="006A4353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Знати: вивчити і знати</w:t>
            </w:r>
            <w:r w:rsidR="000F5888"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способи розмноження ЛР.</w:t>
            </w:r>
          </w:p>
          <w:p w14:paraId="3471EA1F" w14:textId="12769665" w:rsidR="006008B0" w:rsidRPr="00E03441" w:rsidRDefault="000F5888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Вміти: розрізняти самозапильні та перехреснозапильні лікарські рослини</w:t>
            </w:r>
            <w:r w:rsidR="006A4353"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14:paraId="112F7FFB" w14:textId="7681272A" w:rsidR="006008B0" w:rsidRPr="00E03441" w:rsidRDefault="006A4353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практичних робіт: оволодіти способи практичного  управління різними системами розмноження  </w:t>
            </w:r>
          </w:p>
        </w:tc>
        <w:tc>
          <w:tcPr>
            <w:tcW w:w="1787" w:type="dxa"/>
          </w:tcPr>
          <w:p w14:paraId="664D760E" w14:textId="084448AC" w:rsidR="006008B0" w:rsidRPr="000F5888" w:rsidRDefault="000F5888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34EA" w:rsidRPr="00104776" w14:paraId="79A6A161" w14:textId="77777777" w:rsidTr="004B25F4">
        <w:tc>
          <w:tcPr>
            <w:tcW w:w="13482" w:type="dxa"/>
            <w:gridSpan w:val="4"/>
          </w:tcPr>
          <w:p w14:paraId="11841084" w14:textId="77777777" w:rsidR="001A34EA" w:rsidRPr="00E03441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3441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Модуль 1 у вигляді тестів</w:t>
            </w:r>
          </w:p>
        </w:tc>
        <w:tc>
          <w:tcPr>
            <w:tcW w:w="1787" w:type="dxa"/>
          </w:tcPr>
          <w:p w14:paraId="127A51F3" w14:textId="77777777" w:rsidR="001A34EA" w:rsidRPr="00104776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1A34EA" w:rsidRPr="00104776" w14:paraId="3017E664" w14:textId="77777777" w:rsidTr="004B25F4">
        <w:tc>
          <w:tcPr>
            <w:tcW w:w="15269" w:type="dxa"/>
            <w:gridSpan w:val="5"/>
          </w:tcPr>
          <w:p w14:paraId="0889F8BB" w14:textId="395FCF75" w:rsidR="001A34EA" w:rsidRPr="000F5888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Змістовий модуль 2. </w:t>
            </w:r>
            <w:r w:rsidR="000F5888" w:rsidRPr="000F5888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Основні напрямки наукових досліджень у галузі вивчення лікарських рослин</w:t>
            </w:r>
          </w:p>
        </w:tc>
      </w:tr>
      <w:tr w:rsidR="001A34EA" w:rsidRPr="00104776" w14:paraId="479E3CA8" w14:textId="77777777" w:rsidTr="004B25F4">
        <w:tc>
          <w:tcPr>
            <w:tcW w:w="5532" w:type="dxa"/>
          </w:tcPr>
          <w:p w14:paraId="157D4EB4" w14:textId="3A8BF503" w:rsidR="001A34EA" w:rsidRPr="00B1504D" w:rsidRDefault="001A34EA" w:rsidP="001A34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B1504D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Тема 4.</w:t>
            </w:r>
            <w:r w:rsidRPr="00B150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5888" w:rsidRPr="00B150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Лікарські рослини та сировина, що містить вітаміни. Шипшини, горобина, нагідки, кропива, кукурудза смородина, суниця, обліпиха, калина </w:t>
            </w:r>
          </w:p>
        </w:tc>
        <w:tc>
          <w:tcPr>
            <w:tcW w:w="1922" w:type="dxa"/>
          </w:tcPr>
          <w:p w14:paraId="0341136E" w14:textId="77777777" w:rsidR="001A34EA" w:rsidRPr="00104776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2,5/2</w:t>
            </w:r>
          </w:p>
        </w:tc>
        <w:tc>
          <w:tcPr>
            <w:tcW w:w="3552" w:type="dxa"/>
          </w:tcPr>
          <w:p w14:paraId="1E8F081B" w14:textId="210E24D3" w:rsidR="000F5888" w:rsidRPr="000F5888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 повинен знати та вміти розрізняти</w:t>
            </w:r>
            <w:r w:rsid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5888"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морфологічною будовою, сходами, насінням. </w:t>
            </w:r>
          </w:p>
          <w:p w14:paraId="729313BD" w14:textId="4B1832C6" w:rsidR="001A34EA" w:rsidRPr="00104776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81697AD" w14:textId="77777777" w:rsidR="001E55D3" w:rsidRPr="00B1504D" w:rsidRDefault="001E55D3" w:rsidP="001E55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Здача практичних робіт. Вивчення </w:t>
            </w:r>
          </w:p>
          <w:p w14:paraId="110478B9" w14:textId="6297C227" w:rsidR="00B1504D" w:rsidRPr="00B1504D" w:rsidRDefault="001E55D3" w:rsidP="001E55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сировини ЛР, що містить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504D"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вітаміни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ABBF674" w14:textId="77777777" w:rsidR="00B1504D" w:rsidRPr="00B1504D" w:rsidRDefault="00B1504D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56188C" w14:textId="77777777" w:rsidR="00B1504D" w:rsidRPr="00B1504D" w:rsidRDefault="00B1504D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3D350F" w14:textId="77777777" w:rsidR="00B1504D" w:rsidRPr="00B1504D" w:rsidRDefault="00B1504D" w:rsidP="001A34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91D05" w14:textId="36A77ABC" w:rsidR="001A34EA" w:rsidRPr="00B1504D" w:rsidRDefault="001A34EA" w:rsidP="001A34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E8B0DD3" w14:textId="77777777" w:rsidR="001A34EA" w:rsidRPr="00104776" w:rsidRDefault="001A34EA" w:rsidP="001A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1504D" w:rsidRPr="00104776" w14:paraId="624F5E53" w14:textId="77777777" w:rsidTr="004B25F4">
        <w:tc>
          <w:tcPr>
            <w:tcW w:w="5532" w:type="dxa"/>
          </w:tcPr>
          <w:p w14:paraId="1C89CD2E" w14:textId="276C4B49" w:rsidR="00B1504D" w:rsidRPr="00B1504D" w:rsidRDefault="00B1504D" w:rsidP="00B1504D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B1504D">
              <w:rPr>
                <w:rFonts w:ascii="Times New Roman" w:hAnsi="Times New Roman"/>
                <w:sz w:val="24"/>
                <w:szCs w:val="24"/>
              </w:rPr>
              <w:t xml:space="preserve">Лікарські рослини та сировина, що містить полісахариди </w:t>
            </w:r>
            <w:proofErr w:type="spellStart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Льон</w:t>
            </w:r>
            <w:proofErr w:type="spellEnd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види</w:t>
            </w:r>
            <w:proofErr w:type="spellEnd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алтея, </w:t>
            </w:r>
            <w:proofErr w:type="spellStart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мати</w:t>
            </w:r>
            <w:proofErr w:type="spellEnd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-й-</w:t>
            </w:r>
            <w:proofErr w:type="spellStart"/>
            <w:r w:rsidRPr="00B1504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мачуха</w:t>
            </w:r>
            <w:proofErr w:type="spellEnd"/>
          </w:p>
        </w:tc>
        <w:tc>
          <w:tcPr>
            <w:tcW w:w="1922" w:type="dxa"/>
          </w:tcPr>
          <w:p w14:paraId="6D911083" w14:textId="77777777" w:rsidR="00B1504D" w:rsidRPr="00104776" w:rsidRDefault="00B1504D" w:rsidP="00B150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5/5,5</w:t>
            </w:r>
          </w:p>
        </w:tc>
        <w:tc>
          <w:tcPr>
            <w:tcW w:w="3552" w:type="dxa"/>
          </w:tcPr>
          <w:p w14:paraId="42C81918" w14:textId="77777777" w:rsidR="00B1504D" w:rsidRPr="000F5888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 повинен знати та вміти розрізняти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ЛР за морфологічною будовою, сходами, насінням. </w:t>
            </w:r>
          </w:p>
          <w:p w14:paraId="71335145" w14:textId="57070142" w:rsidR="00B1504D" w:rsidRPr="00104776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14:paraId="644CF92D" w14:textId="77777777" w:rsidR="00B1504D" w:rsidRPr="00B1504D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Здача практичних робіт. Вивчення </w:t>
            </w:r>
          </w:p>
          <w:p w14:paraId="58C1C29E" w14:textId="7E325A8E" w:rsidR="00B1504D" w:rsidRPr="00104776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сировини ЛР, що містить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504D">
              <w:rPr>
                <w:rFonts w:ascii="Times New Roman" w:hAnsi="Times New Roman"/>
                <w:sz w:val="24"/>
                <w:szCs w:val="24"/>
              </w:rPr>
              <w:t>полісахариди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1C541FA9" w14:textId="0EDBA72B" w:rsidR="00B1504D" w:rsidRPr="00104776" w:rsidRDefault="001E55D3" w:rsidP="00B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5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1504D" w:rsidRPr="00104776" w14:paraId="07925945" w14:textId="77777777" w:rsidTr="004B25F4">
        <w:tc>
          <w:tcPr>
            <w:tcW w:w="5532" w:type="dxa"/>
          </w:tcPr>
          <w:p w14:paraId="19E27E61" w14:textId="1A05DD73" w:rsidR="00B1504D" w:rsidRPr="00B1504D" w:rsidRDefault="00B1504D" w:rsidP="00B1504D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B1504D">
              <w:rPr>
                <w:rFonts w:ascii="Times New Roman" w:hAnsi="Times New Roman"/>
                <w:sz w:val="24"/>
                <w:szCs w:val="24"/>
              </w:rPr>
              <w:t>Лікарські рослини та сировина, що містять глікозиди. (наперстянка пурпурова, конвалія, астрагал, якірці)</w:t>
            </w:r>
          </w:p>
        </w:tc>
        <w:tc>
          <w:tcPr>
            <w:tcW w:w="1922" w:type="dxa"/>
          </w:tcPr>
          <w:p w14:paraId="21171C1E" w14:textId="77777777" w:rsidR="00B1504D" w:rsidRPr="00104776" w:rsidRDefault="00B1504D" w:rsidP="00B150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</w:tcPr>
          <w:p w14:paraId="03CA30E4" w14:textId="77777777" w:rsidR="00B1504D" w:rsidRPr="000F5888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 повинен знати та вміти розрізняти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F5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ЛР за морфологічною будовою, сходами, насінням. </w:t>
            </w:r>
          </w:p>
          <w:p w14:paraId="0E9E6C50" w14:textId="51BE1220" w:rsidR="00B1504D" w:rsidRPr="00104776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</w:tcPr>
          <w:p w14:paraId="61CDEBDC" w14:textId="77777777" w:rsidR="00B1504D" w:rsidRPr="00B1504D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Здача практичних робіт. Вивчення </w:t>
            </w:r>
          </w:p>
          <w:p w14:paraId="6EAE027D" w14:textId="46CB953F" w:rsidR="00B1504D" w:rsidRPr="00104776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5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сировини ЛР, що містить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E55D3" w:rsidRPr="00B1504D">
              <w:rPr>
                <w:rFonts w:ascii="Times New Roman" w:hAnsi="Times New Roman"/>
                <w:sz w:val="24"/>
                <w:szCs w:val="24"/>
              </w:rPr>
              <w:t>глікозиди.</w:t>
            </w:r>
          </w:p>
        </w:tc>
        <w:tc>
          <w:tcPr>
            <w:tcW w:w="1787" w:type="dxa"/>
          </w:tcPr>
          <w:p w14:paraId="24A275EA" w14:textId="77777777" w:rsidR="00B1504D" w:rsidRPr="00104776" w:rsidRDefault="00B1504D" w:rsidP="00B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5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B1504D" w:rsidRPr="00104776" w14:paraId="3E382C8E" w14:textId="77777777" w:rsidTr="004B25F4">
        <w:tc>
          <w:tcPr>
            <w:tcW w:w="13482" w:type="dxa"/>
            <w:gridSpan w:val="4"/>
          </w:tcPr>
          <w:p w14:paraId="14775594" w14:textId="77777777" w:rsidR="00B1504D" w:rsidRPr="001E55D3" w:rsidRDefault="00B1504D" w:rsidP="00B150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5D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Модуль2 у вигляді тестів</w:t>
            </w:r>
          </w:p>
        </w:tc>
        <w:tc>
          <w:tcPr>
            <w:tcW w:w="1787" w:type="dxa"/>
          </w:tcPr>
          <w:p w14:paraId="411ADA5E" w14:textId="77777777" w:rsidR="00B1504D" w:rsidRPr="001E55D3" w:rsidRDefault="00B1504D" w:rsidP="00B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5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B1504D" w:rsidRPr="00104776" w14:paraId="1862BA22" w14:textId="77777777" w:rsidTr="004B25F4">
        <w:tc>
          <w:tcPr>
            <w:tcW w:w="15269" w:type="dxa"/>
            <w:gridSpan w:val="5"/>
          </w:tcPr>
          <w:p w14:paraId="0C12065A" w14:textId="1F2638DB" w:rsidR="00B1504D" w:rsidRPr="001E55D3" w:rsidRDefault="00B1504D" w:rsidP="00B15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1E55D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Змістовий модуль 3.  </w:t>
            </w:r>
            <w:r w:rsidR="001E55D3" w:rsidRPr="001E55D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Технологія вирощування лікарських та </w:t>
            </w:r>
            <w:proofErr w:type="spellStart"/>
            <w:r w:rsidR="001E55D3" w:rsidRPr="001E55D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нішевих</w:t>
            </w:r>
            <w:proofErr w:type="spellEnd"/>
            <w:r w:rsidR="001E55D3" w:rsidRPr="001E55D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культур</w:t>
            </w:r>
          </w:p>
          <w:p w14:paraId="2A8A581A" w14:textId="77777777" w:rsidR="00B1504D" w:rsidRPr="001E55D3" w:rsidRDefault="00B1504D" w:rsidP="00B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55D3" w:rsidRPr="00104776" w14:paraId="6C63C43E" w14:textId="77777777" w:rsidTr="004B25F4">
        <w:tc>
          <w:tcPr>
            <w:tcW w:w="5532" w:type="dxa"/>
          </w:tcPr>
          <w:p w14:paraId="1E8B7848" w14:textId="5F4C439D" w:rsidR="001E55D3" w:rsidRPr="00104776" w:rsidRDefault="001E55D3" w:rsidP="001E55D3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 xml:space="preserve">Тема 7. </w:t>
            </w:r>
            <w:proofErr w:type="spellStart"/>
            <w:r w:rsidRPr="001E55D3">
              <w:rPr>
                <w:rFonts w:ascii="Times New Roman" w:hAnsi="Times New Roman"/>
                <w:sz w:val="24"/>
                <w:szCs w:val="24"/>
              </w:rPr>
              <w:t>Нішеві</w:t>
            </w:r>
            <w:proofErr w:type="spellEnd"/>
            <w:r w:rsidRPr="001E55D3">
              <w:rPr>
                <w:rFonts w:ascii="Times New Roman" w:hAnsi="Times New Roman"/>
                <w:sz w:val="24"/>
                <w:szCs w:val="24"/>
              </w:rPr>
              <w:t xml:space="preserve"> культури що мають лікарські властивості (сочевиця, гірчиця, льон). Морфологічні та біологічні властивості.</w:t>
            </w:r>
          </w:p>
        </w:tc>
        <w:tc>
          <w:tcPr>
            <w:tcW w:w="1922" w:type="dxa"/>
          </w:tcPr>
          <w:p w14:paraId="67921209" w14:textId="77777777" w:rsidR="001E55D3" w:rsidRPr="00104776" w:rsidRDefault="001E55D3" w:rsidP="001E55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</w:tcPr>
          <w:p w14:paraId="69CABFBB" w14:textId="4B7DC9F1" w:rsidR="001E55D3" w:rsidRPr="00104776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Знати: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морфологічну будову, біологічні особливості та особливості вирощування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нішевих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культур;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розрізняти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нішеві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культури за морфологічною будовою, сходами, насінням;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олодіти: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знаннями з технологій вирощування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нішевих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476" w:type="dxa"/>
          </w:tcPr>
          <w:p w14:paraId="222A4852" w14:textId="17A93AB8" w:rsidR="001E55D3" w:rsidRPr="00104776" w:rsidRDefault="001E55D3" w:rsidP="001E55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Здача практичних робіт. Розв’язок задач з визначення біологічної урожайності </w:t>
            </w:r>
            <w:r w:rsidR="003E191B"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сочевиці, гірчиці, льону</w:t>
            </w:r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Визначення структури врожаю </w:t>
            </w:r>
            <w:proofErr w:type="spellStart"/>
            <w:r w:rsidR="003E191B"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нішевих</w:t>
            </w:r>
            <w:proofErr w:type="spellEnd"/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культур.</w:t>
            </w:r>
          </w:p>
        </w:tc>
        <w:tc>
          <w:tcPr>
            <w:tcW w:w="1787" w:type="dxa"/>
          </w:tcPr>
          <w:p w14:paraId="4B252E08" w14:textId="77777777" w:rsidR="001E55D3" w:rsidRPr="007E1852" w:rsidRDefault="001E55D3" w:rsidP="001E5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8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3E191B" w:rsidRPr="00104776" w14:paraId="6BBE2059" w14:textId="77777777" w:rsidTr="004B25F4">
        <w:tc>
          <w:tcPr>
            <w:tcW w:w="5532" w:type="dxa"/>
          </w:tcPr>
          <w:p w14:paraId="4A6C6879" w14:textId="1ACA79EB" w:rsidR="003E191B" w:rsidRPr="003E191B" w:rsidRDefault="003E191B" w:rsidP="003E191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3E191B">
              <w:rPr>
                <w:rFonts w:ascii="Times New Roman" w:hAnsi="Times New Roman"/>
                <w:sz w:val="24"/>
                <w:szCs w:val="24"/>
              </w:rPr>
              <w:t xml:space="preserve">Медоносні рослини що мають лікарські властивості (гісоп, </w:t>
            </w:r>
            <w:proofErr w:type="spellStart"/>
            <w:r w:rsidRPr="003E191B">
              <w:rPr>
                <w:rFonts w:ascii="Times New Roman" w:hAnsi="Times New Roman"/>
                <w:sz w:val="24"/>
                <w:szCs w:val="24"/>
              </w:rPr>
              <w:t>ехіноцея</w:t>
            </w:r>
            <w:proofErr w:type="spellEnd"/>
            <w:r w:rsidRPr="003E191B">
              <w:rPr>
                <w:rFonts w:ascii="Times New Roman" w:hAnsi="Times New Roman"/>
                <w:sz w:val="24"/>
                <w:szCs w:val="24"/>
              </w:rPr>
              <w:t>, живокіст, гречка, ріпак, еспарцет)</w:t>
            </w:r>
          </w:p>
        </w:tc>
        <w:tc>
          <w:tcPr>
            <w:tcW w:w="1922" w:type="dxa"/>
          </w:tcPr>
          <w:p w14:paraId="3BF0BDCD" w14:textId="77777777" w:rsidR="003E191B" w:rsidRPr="00104776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DAE4521" w14:textId="7B202B41" w:rsidR="003E191B" w:rsidRPr="00104776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Знати: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морфологічну будову, біологічні особливості та особливості вирощування медоносних культур;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міти</w:t>
            </w:r>
            <w:r>
              <w:rPr>
                <w:rFonts w:ascii="Times New Roman" w:hAnsi="Times New Roman"/>
                <w:sz w:val="24"/>
                <w:szCs w:val="24"/>
              </w:rPr>
              <w:t>: розрізняти медоносні культури за морфологічною будовою, сходами, насінням;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олодіти: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знаннями з технологій вирощування  медоносних культур.</w:t>
            </w:r>
          </w:p>
        </w:tc>
        <w:tc>
          <w:tcPr>
            <w:tcW w:w="2476" w:type="dxa"/>
          </w:tcPr>
          <w:p w14:paraId="419ECCCB" w14:textId="1167C719" w:rsidR="003E191B" w:rsidRPr="00104776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Здача практичних робіт. Розв’язок задач з визначення біологічної урожайності </w:t>
            </w:r>
            <w:proofErr w:type="spellStart"/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ріпаку,еспарцету</w:t>
            </w:r>
            <w:proofErr w:type="spellEnd"/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ехіноцеї</w:t>
            </w:r>
            <w:proofErr w:type="spellEnd"/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визначення густоти рослин на га.</w:t>
            </w:r>
          </w:p>
          <w:p w14:paraId="04235E5E" w14:textId="356654A6" w:rsidR="003E191B" w:rsidRPr="00104776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4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2E58"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Складання технологічних карт.</w:t>
            </w:r>
          </w:p>
        </w:tc>
        <w:tc>
          <w:tcPr>
            <w:tcW w:w="1787" w:type="dxa"/>
          </w:tcPr>
          <w:p w14:paraId="5BE7EEB9" w14:textId="77777777" w:rsidR="003E191B" w:rsidRPr="007E1852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8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E191B" w:rsidRPr="00104776" w14:paraId="4663CCC0" w14:textId="77777777" w:rsidTr="004B25F4">
        <w:tc>
          <w:tcPr>
            <w:tcW w:w="5532" w:type="dxa"/>
          </w:tcPr>
          <w:p w14:paraId="07C85406" w14:textId="580511AB" w:rsidR="003E191B" w:rsidRPr="00E03441" w:rsidRDefault="003E191B" w:rsidP="003E191B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2C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Тема  9.</w:t>
            </w:r>
            <w:r w:rsidRPr="00AC13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3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Біологічні </w:t>
            </w:r>
            <w:r w:rsidRPr="00E03441">
              <w:rPr>
                <w:rFonts w:ascii="Times New Roman" w:hAnsi="Times New Roman"/>
                <w:sz w:val="24"/>
                <w:szCs w:val="24"/>
              </w:rPr>
              <w:t>особливості і технологія вирощування</w:t>
            </w:r>
            <w:r w:rsidR="008C2E58" w:rsidRPr="00E03441">
              <w:rPr>
                <w:rFonts w:ascii="Times New Roman" w:hAnsi="Times New Roman"/>
                <w:sz w:val="24"/>
                <w:szCs w:val="24"/>
              </w:rPr>
              <w:t xml:space="preserve"> рослин, що мають </w:t>
            </w:r>
            <w:proofErr w:type="spellStart"/>
            <w:r w:rsidR="008C2E58" w:rsidRPr="00E03441">
              <w:rPr>
                <w:rFonts w:ascii="Times New Roman" w:hAnsi="Times New Roman"/>
                <w:sz w:val="24"/>
                <w:szCs w:val="24"/>
              </w:rPr>
              <w:t>терпеноїди</w:t>
            </w:r>
            <w:proofErr w:type="spellEnd"/>
            <w:r w:rsidR="008C2E58" w:rsidRPr="00E034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3441">
              <w:rPr>
                <w:rFonts w:ascii="Times New Roman" w:hAnsi="Times New Roman"/>
                <w:sz w:val="24"/>
                <w:szCs w:val="24"/>
              </w:rPr>
              <w:t>ромашк</w:t>
            </w:r>
            <w:r w:rsidR="008C2E58" w:rsidRPr="00E03441">
              <w:rPr>
                <w:rFonts w:ascii="Times New Roman" w:hAnsi="Times New Roman"/>
                <w:sz w:val="24"/>
                <w:szCs w:val="24"/>
              </w:rPr>
              <w:t>а</w:t>
            </w:r>
            <w:r w:rsidRPr="00E0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E58" w:rsidRPr="00E03441">
              <w:rPr>
                <w:rFonts w:ascii="Times New Roman" w:hAnsi="Times New Roman"/>
                <w:sz w:val="24"/>
                <w:szCs w:val="24"/>
              </w:rPr>
              <w:t>запашна</w:t>
            </w:r>
            <w:r w:rsidRPr="00E03441">
              <w:rPr>
                <w:rFonts w:ascii="Times New Roman" w:hAnsi="Times New Roman"/>
                <w:sz w:val="24"/>
                <w:szCs w:val="24"/>
              </w:rPr>
              <w:t>, аніс, фенхел</w:t>
            </w:r>
            <w:r w:rsidR="008C2E58" w:rsidRPr="00E03441">
              <w:rPr>
                <w:rFonts w:ascii="Times New Roman" w:hAnsi="Times New Roman"/>
                <w:sz w:val="24"/>
                <w:szCs w:val="24"/>
              </w:rPr>
              <w:t>ь, коріандр)</w:t>
            </w:r>
          </w:p>
          <w:p w14:paraId="2E36275E" w14:textId="2B4C24C6" w:rsidR="003E191B" w:rsidRPr="00104776" w:rsidRDefault="003E191B" w:rsidP="003E191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14:paraId="6E9117D7" w14:textId="77777777" w:rsidR="003E191B" w:rsidRPr="00104776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</w:tcPr>
          <w:p w14:paraId="4F4C7303" w14:textId="3F2AAA84" w:rsidR="003E191B" w:rsidRPr="008C2E58" w:rsidRDefault="008C2E58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 повинен знати морфологічну будову культур, їх біологічні особливості. Володіти знаннями з технологій їх вирощування. Знати особливості вирощування основних ефіроолійних культур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ромашкі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лікарської, </w:t>
            </w: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коріандру, фенхель, аніс).</w:t>
            </w:r>
          </w:p>
        </w:tc>
        <w:tc>
          <w:tcPr>
            <w:tcW w:w="2476" w:type="dxa"/>
          </w:tcPr>
          <w:p w14:paraId="42E5271C" w14:textId="401F9B3C" w:rsidR="003E191B" w:rsidRPr="00104776" w:rsidRDefault="008C2E58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Здача практичних робіт. Розв’язок задач з визначення біологічної урожайності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фенхелю, коріандру, анісу, ромашки запашної</w:t>
            </w:r>
          </w:p>
        </w:tc>
        <w:tc>
          <w:tcPr>
            <w:tcW w:w="1787" w:type="dxa"/>
          </w:tcPr>
          <w:p w14:paraId="6C1A4206" w14:textId="77777777" w:rsidR="003E191B" w:rsidRPr="007E1852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8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191B" w:rsidRPr="00104776" w14:paraId="2DF72C55" w14:textId="77777777" w:rsidTr="004B25F4">
        <w:tc>
          <w:tcPr>
            <w:tcW w:w="5532" w:type="dxa"/>
          </w:tcPr>
          <w:p w14:paraId="7DB2C33A" w14:textId="7FCD178E" w:rsidR="003E191B" w:rsidRPr="008C2E58" w:rsidRDefault="003E191B" w:rsidP="003E191B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8C2E58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Тема  10.</w:t>
            </w:r>
            <w:r w:rsidR="008C2E58" w:rsidRPr="008C2E58">
              <w:rPr>
                <w:color w:val="000000" w:themeColor="text1"/>
              </w:rPr>
              <w:t xml:space="preserve"> </w:t>
            </w:r>
            <w:r w:rsidR="008C2E58" w:rsidRPr="008C2E58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Збір лікарської сировини</w:t>
            </w:r>
          </w:p>
        </w:tc>
        <w:tc>
          <w:tcPr>
            <w:tcW w:w="1922" w:type="dxa"/>
          </w:tcPr>
          <w:p w14:paraId="4DF89456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</w:tcPr>
          <w:p w14:paraId="545F8247" w14:textId="1316D7F1" w:rsidR="003E191B" w:rsidRPr="008C2E58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 повинен знати</w:t>
            </w:r>
            <w:r w:rsidR="008C2E58"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C2E58"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8C2E58"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збору, сушіння та зберігання лікарської рослинної сировини.</w:t>
            </w:r>
            <w:r w:rsidR="008C2E58" w:rsidRPr="008C2E58">
              <w:rPr>
                <w:color w:val="000000" w:themeColor="text1"/>
              </w:rPr>
              <w:t xml:space="preserve"> </w:t>
            </w:r>
            <w:r w:rsidR="008C2E58"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Особливості збирання бруньок, кори, коренів та кореневищ.</w:t>
            </w:r>
          </w:p>
        </w:tc>
        <w:tc>
          <w:tcPr>
            <w:tcW w:w="2476" w:type="dxa"/>
          </w:tcPr>
          <w:p w14:paraId="6F15D23B" w14:textId="5D387149" w:rsidR="003E191B" w:rsidRPr="008C2E58" w:rsidRDefault="008C2E58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Здача практичних </w:t>
            </w:r>
            <w:r w:rsidRPr="008C2E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робіт. Вивчення правил збору та сушіння лікарської рослинної сировини</w:t>
            </w:r>
          </w:p>
        </w:tc>
        <w:tc>
          <w:tcPr>
            <w:tcW w:w="1787" w:type="dxa"/>
          </w:tcPr>
          <w:p w14:paraId="332F059D" w14:textId="77777777" w:rsidR="003E191B" w:rsidRPr="007E1852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8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3E191B" w:rsidRPr="00104776" w14:paraId="0289060D" w14:textId="77777777" w:rsidTr="004B25F4">
        <w:tc>
          <w:tcPr>
            <w:tcW w:w="13482" w:type="dxa"/>
            <w:gridSpan w:val="4"/>
          </w:tcPr>
          <w:p w14:paraId="7E6C799D" w14:textId="77777777" w:rsidR="003E191B" w:rsidRPr="008C2E58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Модуль 3 у вигляді тестів</w:t>
            </w:r>
          </w:p>
        </w:tc>
        <w:tc>
          <w:tcPr>
            <w:tcW w:w="1787" w:type="dxa"/>
          </w:tcPr>
          <w:p w14:paraId="228279D8" w14:textId="77777777" w:rsidR="003E191B" w:rsidRPr="007E1852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8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3E191B" w:rsidRPr="00104776" w14:paraId="5A29C2E5" w14:textId="77777777" w:rsidTr="004B25F4">
        <w:tc>
          <w:tcPr>
            <w:tcW w:w="13482" w:type="dxa"/>
            <w:gridSpan w:val="4"/>
          </w:tcPr>
          <w:p w14:paraId="5DB9C523" w14:textId="77777777" w:rsidR="003E191B" w:rsidRPr="008C2E58" w:rsidRDefault="003E191B" w:rsidP="003E1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за  семестр</w:t>
            </w:r>
          </w:p>
        </w:tc>
        <w:tc>
          <w:tcPr>
            <w:tcW w:w="1787" w:type="dxa"/>
          </w:tcPr>
          <w:p w14:paraId="3ACCB432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  <w:tr w:rsidR="003E191B" w:rsidRPr="00104776" w14:paraId="16A1428F" w14:textId="77777777" w:rsidTr="004B25F4">
        <w:tc>
          <w:tcPr>
            <w:tcW w:w="5532" w:type="dxa"/>
          </w:tcPr>
          <w:p w14:paraId="0F26B824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14:paraId="5B72F499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</w:tcPr>
          <w:p w14:paraId="641E8246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1789877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A7DC954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3E191B" w:rsidRPr="00104776" w14:paraId="4C20B328" w14:textId="77777777" w:rsidTr="004B25F4">
        <w:tc>
          <w:tcPr>
            <w:tcW w:w="13482" w:type="dxa"/>
            <w:gridSpan w:val="4"/>
          </w:tcPr>
          <w:p w14:paraId="438318EA" w14:textId="77777777" w:rsidR="003E191B" w:rsidRPr="008C2E58" w:rsidRDefault="003E191B" w:rsidP="003E19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за курс</w:t>
            </w:r>
          </w:p>
        </w:tc>
        <w:tc>
          <w:tcPr>
            <w:tcW w:w="1787" w:type="dxa"/>
          </w:tcPr>
          <w:p w14:paraId="175FAA9B" w14:textId="77777777" w:rsidR="003E191B" w:rsidRPr="008C2E58" w:rsidRDefault="003E191B" w:rsidP="003E19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2E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1D85DDE0" w14:textId="77777777" w:rsidR="00A13899" w:rsidRPr="00104776" w:rsidRDefault="00A13899" w:rsidP="00A138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39D93C5" w14:textId="77777777" w:rsidR="00A13899" w:rsidRDefault="00A13899" w:rsidP="00A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13899" w:rsidSect="00EC504D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14:paraId="3F3ACBA7" w14:textId="77777777" w:rsidR="00A13899" w:rsidRDefault="00A13899" w:rsidP="00A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38C66" w14:textId="77777777" w:rsidR="00A13899" w:rsidRPr="00F82151" w:rsidRDefault="00A13899" w:rsidP="00A1389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13899" w:rsidRPr="000F7AD8" w14:paraId="761F056E" w14:textId="77777777" w:rsidTr="004B25F4">
        <w:tc>
          <w:tcPr>
            <w:tcW w:w="2660" w:type="dxa"/>
          </w:tcPr>
          <w:p w14:paraId="164E10E1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4BEA49D3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13899" w:rsidRPr="000F7AD8" w14:paraId="0F45D48F" w14:textId="77777777" w:rsidTr="004B25F4">
        <w:tc>
          <w:tcPr>
            <w:tcW w:w="2660" w:type="dxa"/>
          </w:tcPr>
          <w:p w14:paraId="1F204EBD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35797337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заліків заборонені (в </w:t>
            </w:r>
            <w:proofErr w:type="spellStart"/>
            <w:r w:rsidRPr="000F7AD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F7AD8">
              <w:rPr>
                <w:rFonts w:ascii="Times New Roman" w:hAnsi="Times New Roman"/>
                <w:sz w:val="24"/>
                <w:szCs w:val="24"/>
              </w:rPr>
              <w:t>. із використанням мобільних девайсів). Реферати повинні мати коректні текстові посилання на використану літературу</w:t>
            </w:r>
          </w:p>
        </w:tc>
      </w:tr>
      <w:tr w:rsidR="00A13899" w:rsidRPr="000F7AD8" w14:paraId="73DDB9EB" w14:textId="77777777" w:rsidTr="004B25F4">
        <w:tc>
          <w:tcPr>
            <w:tcW w:w="2660" w:type="dxa"/>
          </w:tcPr>
          <w:p w14:paraId="04F821AF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3E30DEBC" w14:textId="77777777" w:rsidR="00A13899" w:rsidRPr="000F7AD8" w:rsidRDefault="00A13899" w:rsidP="004B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1C327498" w14:textId="77777777" w:rsidR="00A13899" w:rsidRPr="00A71D92" w:rsidRDefault="00A13899" w:rsidP="00A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FA763" w14:textId="77777777" w:rsidR="00A13899" w:rsidRPr="00A71D92" w:rsidRDefault="00A13899" w:rsidP="00A13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55556" w14:textId="77777777" w:rsidR="00A13899" w:rsidRPr="00F82151" w:rsidRDefault="00A13899" w:rsidP="00A1389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13899" w:rsidRPr="000F7AD8" w14:paraId="6EB012D2" w14:textId="77777777" w:rsidTr="004B25F4">
        <w:tc>
          <w:tcPr>
            <w:tcW w:w="2376" w:type="dxa"/>
            <w:vMerge w:val="restart"/>
          </w:tcPr>
          <w:p w14:paraId="66978BF2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EE0BC99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13899" w:rsidRPr="000F7AD8" w14:paraId="40ED9692" w14:textId="77777777" w:rsidTr="004B25F4">
        <w:tc>
          <w:tcPr>
            <w:tcW w:w="2376" w:type="dxa"/>
            <w:vMerge/>
          </w:tcPr>
          <w:p w14:paraId="73CEE8F0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63CB39B2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06713AE8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D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13899" w:rsidRPr="000F7AD8" w14:paraId="6B5EB02D" w14:textId="77777777" w:rsidTr="004B25F4">
        <w:tc>
          <w:tcPr>
            <w:tcW w:w="2376" w:type="dxa"/>
          </w:tcPr>
          <w:p w14:paraId="75B63308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9D0AB7F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05500F11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13899" w:rsidRPr="000F7AD8" w14:paraId="467000C0" w14:textId="77777777" w:rsidTr="004B25F4">
        <w:tc>
          <w:tcPr>
            <w:tcW w:w="2376" w:type="dxa"/>
          </w:tcPr>
          <w:p w14:paraId="2A99A69C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39976AD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116ABA0B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99" w:rsidRPr="000F7AD8" w14:paraId="07802848" w14:textId="77777777" w:rsidTr="004B25F4">
        <w:tc>
          <w:tcPr>
            <w:tcW w:w="2376" w:type="dxa"/>
          </w:tcPr>
          <w:p w14:paraId="51D9ADE6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26F13CD4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0FB7568D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99" w:rsidRPr="000F7AD8" w14:paraId="343BE21B" w14:textId="77777777" w:rsidTr="004B25F4">
        <w:tc>
          <w:tcPr>
            <w:tcW w:w="2376" w:type="dxa"/>
          </w:tcPr>
          <w:p w14:paraId="5A960974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48F582ED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D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0DACAB7F" w14:textId="77777777" w:rsidR="00A13899" w:rsidRPr="000F7AD8" w:rsidRDefault="00A13899" w:rsidP="004B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AD8">
              <w:rPr>
                <w:rFonts w:ascii="Times New Roman" w:hAnsi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14:paraId="785DFDC5" w14:textId="77777777" w:rsidR="00A13899" w:rsidRPr="00A71D92" w:rsidRDefault="00A13899" w:rsidP="00A13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D7836" w14:textId="77777777" w:rsidR="00A13899" w:rsidRPr="00A71D92" w:rsidRDefault="00A13899" w:rsidP="00A13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597D04" w14:textId="77777777" w:rsidR="00176E25" w:rsidRDefault="00176E25"/>
    <w:sectPr w:rsidR="00176E25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F90"/>
    <w:multiLevelType w:val="hybridMultilevel"/>
    <w:tmpl w:val="B5EEE05E"/>
    <w:lvl w:ilvl="0" w:tplc="DE2CC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E4D"/>
    <w:rsid w:val="00084E4D"/>
    <w:rsid w:val="000F5888"/>
    <w:rsid w:val="00100242"/>
    <w:rsid w:val="00104776"/>
    <w:rsid w:val="001174F1"/>
    <w:rsid w:val="00176E25"/>
    <w:rsid w:val="001A34EA"/>
    <w:rsid w:val="001D13C7"/>
    <w:rsid w:val="001E55D3"/>
    <w:rsid w:val="00356D48"/>
    <w:rsid w:val="00372DAD"/>
    <w:rsid w:val="003B178B"/>
    <w:rsid w:val="003E191B"/>
    <w:rsid w:val="004A3220"/>
    <w:rsid w:val="00514652"/>
    <w:rsid w:val="006008B0"/>
    <w:rsid w:val="006A4353"/>
    <w:rsid w:val="006C058C"/>
    <w:rsid w:val="007649DE"/>
    <w:rsid w:val="007E1852"/>
    <w:rsid w:val="008C2E58"/>
    <w:rsid w:val="009F11BC"/>
    <w:rsid w:val="00A13899"/>
    <w:rsid w:val="00AC132C"/>
    <w:rsid w:val="00B1504D"/>
    <w:rsid w:val="00BC0A97"/>
    <w:rsid w:val="00D76425"/>
    <w:rsid w:val="00E03441"/>
    <w:rsid w:val="00E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2F6"/>
  <w15:docId w15:val="{5C6E227C-39E4-4761-A270-FF3A6F0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99"/>
    <w:rPr>
      <w:rFonts w:ascii="Tahoma" w:eastAsia="Calibri" w:hAnsi="Tahoma" w:cs="Tahoma"/>
      <w:sz w:val="16"/>
      <w:szCs w:val="16"/>
      <w:lang w:val="uk-UA"/>
    </w:rPr>
  </w:style>
  <w:style w:type="paragraph" w:customStyle="1" w:styleId="Default">
    <w:name w:val="Default"/>
    <w:rsid w:val="0037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12</cp:revision>
  <dcterms:created xsi:type="dcterms:W3CDTF">2020-06-23T18:15:00Z</dcterms:created>
  <dcterms:modified xsi:type="dcterms:W3CDTF">2023-06-18T19:38:00Z</dcterms:modified>
</cp:coreProperties>
</file>