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DE30B9">
        <w:rPr>
          <w:rFonts w:ascii="Times New Roman" w:hAnsi="Times New Roman"/>
          <w:sz w:val="24"/>
          <w:szCs w:val="24"/>
        </w:rPr>
        <w:t>342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6B2A0D">
        <w:rPr>
          <w:rFonts w:ascii="Times New Roman" w:hAnsi="Times New Roman"/>
          <w:sz w:val="24"/>
          <w:szCs w:val="24"/>
        </w:rPr>
        <w:t>19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DE30B9" w:rsidRDefault="00736A3B" w:rsidP="00DE30B9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DE30B9" w:rsidRPr="00DE30B9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32320000-2: Телевізійне й аудіовізуальне обладнання</w:t>
            </w:r>
            <w:r w:rsidR="00DE30B9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DE30B9" w:rsidRPr="00DE30B9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Відеоокуляри</w:t>
            </w:r>
            <w:proofErr w:type="spellEnd"/>
            <w:r w:rsidR="00DE30B9" w:rsidRPr="00DE30B9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FPV</w:t>
            </w:r>
            <w:r w:rsidR="00DE30B9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E30B9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DE30B9">
              <w:rPr>
                <w:rFonts w:ascii="Times New Roman" w:hAnsi="Times New Roman"/>
              </w:rPr>
              <w:t>UA-2023-10-19-008144-a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DE30B9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DE30B9">
              <w:rPr>
                <w:rFonts w:ascii="Times New Roman" w:hAnsi="Times New Roman"/>
              </w:rPr>
              <w:t>89 495,00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2023-11-16T09:29:00Z</dcterms:created>
  <dcterms:modified xsi:type="dcterms:W3CDTF">2023-11-16T09:29:00Z</dcterms:modified>
</cp:coreProperties>
</file>