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2F" w:rsidRPr="00F20E34" w:rsidRDefault="00A7252F" w:rsidP="00A7252F">
      <w:pPr>
        <w:spacing w:after="0" w:line="240" w:lineRule="auto"/>
        <w:ind w:left="400" w:right="400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uk-UA"/>
        </w:rPr>
      </w:pPr>
      <w:bookmarkStart w:id="0" w:name="_GoBack"/>
      <w:bookmarkEnd w:id="0"/>
      <w:r w:rsidRPr="00F20E34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uk-UA"/>
        </w:rPr>
        <w:t>Лабораторна робота № 5</w:t>
      </w:r>
    </w:p>
    <w:p w:rsidR="00A7252F" w:rsidRPr="00F20E34" w:rsidRDefault="00A7252F" w:rsidP="00A7252F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uk-UA"/>
        </w:rPr>
        <w:t>Забруднення навколишнього середовища в разі застосування мінеральних добрив у сільськогосподарському виробництві.</w:t>
      </w:r>
    </w:p>
    <w:p w:rsidR="00A7252F" w:rsidRPr="00F20E34" w:rsidRDefault="00A7252F" w:rsidP="00A7252F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uk-UA"/>
        </w:rPr>
        <w:t>Мета роботи: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ознайомитися і проаналізувати основні методи агроекологічної оцінки мінеральних добрив, а також вивчити вплив основних чинників антропогенного забруднення в разі застосування мінеральних добрив на складові біосфери.</w:t>
      </w:r>
    </w:p>
    <w:p w:rsidR="00A7252F" w:rsidRPr="00F20E34" w:rsidRDefault="00A7252F" w:rsidP="00A7252F">
      <w:pPr>
        <w:spacing w:after="0" w:line="240" w:lineRule="auto"/>
        <w:ind w:left="76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76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uk-UA"/>
        </w:rPr>
        <w:t>Теоретичні відомості</w:t>
      </w:r>
    </w:p>
    <w:p w:rsidR="00A7252F" w:rsidRPr="00F20E34" w:rsidRDefault="00A7252F" w:rsidP="00A7252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Усі види добрив, які застосовують у господарствах з урахуванням біологічних особливостей рослин і властивостей ґрунтів, не тільки підвищують урожайність, але і поліпшують якість сільськогосподарської продукції. На якість продукції впливає вміст у рослині мінеральних елементів, основних органічних сполук (білків, вуглеводів, вітамінів, ферментів) та інших компонентів, що у свою чергу залежать від правильного застосування добрив.</w:t>
      </w:r>
    </w:p>
    <w:p w:rsidR="00A7252F" w:rsidRPr="00F20E34" w:rsidRDefault="00A7252F" w:rsidP="00A7252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Внаслідок інтенсивної хімізації сільськогосподарського виробництва відбувається забруднення довкілля шкідливими компонентами, які містяться в мінеральних добривах або є продуктами їхнього хімічного перетворення у ґрунті.</w:t>
      </w:r>
    </w:p>
    <w:p w:rsidR="00A7252F" w:rsidRPr="00F20E34" w:rsidRDefault="00A7252F" w:rsidP="00A7252F">
      <w:pPr>
        <w:spacing w:after="0" w:line="240" w:lineRule="auto"/>
        <w:ind w:left="40" w:right="40" w:firstLine="66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Забруднення навколишнього середовища мінеральними добривами в основному відбувається через:</w:t>
      </w:r>
    </w:p>
    <w:p w:rsidR="00A7252F" w:rsidRPr="00F20E34" w:rsidRDefault="00A7252F" w:rsidP="00A7252F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недосконалість технологій транспортування, зберігання та змішування добрив;</w:t>
      </w:r>
    </w:p>
    <w:p w:rsidR="00A7252F" w:rsidRPr="00F20E34" w:rsidRDefault="00A7252F" w:rsidP="00A7252F">
      <w:pPr>
        <w:spacing w:after="0" w:line="240" w:lineRule="auto"/>
        <w:ind w:left="40" w:firstLine="40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порушення агрономічної технології їхнього внесення;</w:t>
      </w:r>
    </w:p>
    <w:p w:rsidR="00A7252F" w:rsidRPr="00F20E34" w:rsidRDefault="00A7252F" w:rsidP="00A7252F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недосконалість самих добрив, їхніх хімічних, фізичних та механічних властивостей.</w:t>
      </w:r>
    </w:p>
    <w:p w:rsidR="00A7252F" w:rsidRPr="00F20E34" w:rsidRDefault="00A7252F" w:rsidP="00A7252F">
      <w:pPr>
        <w:tabs>
          <w:tab w:val="left" w:pos="338"/>
        </w:tabs>
        <w:spacing w:after="0" w:line="240" w:lineRule="auto"/>
        <w:ind w:left="40" w:right="4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ab/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ab/>
        <w:t>З азотними мінеральними добривами, внесеними в надмірних кількостях, у ґрунт і ґрунтові води потрапляють нітрати, які вбираються кореневою системою рослин, внаслідок чого відбувається забруднення продуктів харчування та питної води. Азотні добрива одержують на промислових підприємствах з аміаку й азотної кислоти. Це кристалічні порошки білого або жовтого кольору, які добре розчиняються у воді. Залежно від форми сполуки, до якої входить азот, ці добрива поділяють на такі групи: аміачні – містять азот в аміачній (амонійній) формах (NН</w:t>
      </w:r>
      <w:r w:rsidRPr="00F20E34">
        <w:rPr>
          <w:rFonts w:ascii="Times New Roman" w:eastAsia="Times New Roman" w:hAnsi="Times New Roman"/>
          <w:sz w:val="26"/>
          <w:szCs w:val="26"/>
          <w:vertAlign w:val="subscript"/>
          <w:lang w:val="uk-UA" w:eastAsia="uk-UA"/>
        </w:rPr>
        <w:t>3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, NН</w:t>
      </w:r>
      <w:r w:rsidRPr="00F20E34">
        <w:rPr>
          <w:rFonts w:ascii="Times New Roman" w:eastAsia="Times New Roman" w:hAnsi="Times New Roman"/>
          <w:sz w:val="26"/>
          <w:szCs w:val="26"/>
          <w:vertAlign w:val="subscript"/>
          <w:lang w:val="uk-UA" w:eastAsia="uk-UA"/>
        </w:rPr>
        <w:t>4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); нітратні – містять азот у нітратній формі (NО</w:t>
      </w:r>
      <w:r w:rsidRPr="00F20E34">
        <w:rPr>
          <w:rFonts w:ascii="Times New Roman" w:eastAsia="Times New Roman" w:hAnsi="Times New Roman"/>
          <w:sz w:val="26"/>
          <w:szCs w:val="26"/>
          <w:vertAlign w:val="subscript"/>
          <w:lang w:val="uk-UA" w:eastAsia="uk-UA"/>
        </w:rPr>
        <w:t>3</w:t>
      </w:r>
      <w:r w:rsidRPr="00F20E34">
        <w:rPr>
          <w:rFonts w:ascii="Times New Roman" w:eastAsia="Times New Roman" w:hAnsi="Times New Roman"/>
          <w:sz w:val="26"/>
          <w:szCs w:val="26"/>
          <w:vertAlign w:val="superscript"/>
          <w:lang w:val="uk-UA" w:eastAsia="uk-UA"/>
        </w:rPr>
        <w:t>-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) – це солі азотної кислоти; аміачно-нітратні, які містять азот у вигляді аміаку й нітратів; амідні – містять азот в амідній формі NH</w:t>
      </w:r>
      <w:r w:rsidRPr="00F20E34">
        <w:rPr>
          <w:rFonts w:ascii="Times New Roman" w:eastAsia="Times New Roman" w:hAnsi="Times New Roman"/>
          <w:sz w:val="26"/>
          <w:szCs w:val="26"/>
          <w:vertAlign w:val="subscript"/>
          <w:lang w:val="uk-UA" w:eastAsia="uk-UA"/>
        </w:rPr>
        <w:t>2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A7252F" w:rsidRPr="00F20E34" w:rsidRDefault="00A7252F" w:rsidP="00A7252F">
      <w:pPr>
        <w:spacing w:after="0" w:line="240" w:lineRule="auto"/>
        <w:ind w:left="40" w:right="40" w:firstLine="66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У разі надмірного внесення фосфорних добрив відбувається забруднення ґрунту важкими металами. Так, у разі внесення 70 кг фосфорних добрива на 1 га у грунт потрапляє 2-3 г кадмію. Основною сировиною для виробництва фосфорних добрив є апатити, фосфорити, відходи металургійної та м'ясопереробної промисловості. Саме тому фосфорні добрива є найбільш небезпечними і в разі неправильного застосування можуть призвести до великих втрат урожаю та забруднення сільськогосподарської продукції.</w:t>
      </w:r>
    </w:p>
    <w:p w:rsidR="00A7252F" w:rsidRPr="00F20E34" w:rsidRDefault="00A7252F" w:rsidP="00A7252F">
      <w:pPr>
        <w:spacing w:after="0" w:line="240" w:lineRule="auto"/>
        <w:ind w:left="40" w:right="40" w:firstLine="668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Сировиною для виробництва калійних добрив є природні калійні солі, каїніт, сильвініт, теніт, калімаг, полігаліт. Деякі калійні добрива мають у своєму складі хлор, що може бути причиною забруднення ґрунтового середовища. Калійні добрива мають позитивний вплив на врожай за вмісту обмінного калію на рівні до 20-120 мг/кг у некарбонатних і 50-200 мг/кг у карбонатних ґрунтах.</w:t>
      </w:r>
    </w:p>
    <w:p w:rsidR="00A7252F" w:rsidRPr="00F20E34" w:rsidRDefault="00A7252F" w:rsidP="00A7252F">
      <w:pPr>
        <w:spacing w:after="0" w:line="240" w:lineRule="auto"/>
        <w:ind w:left="40" w:right="40" w:firstLine="668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40" w:right="40" w:firstLine="668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Хід роботи</w:t>
      </w:r>
    </w:p>
    <w:p w:rsidR="00A7252F" w:rsidRPr="00F20E34" w:rsidRDefault="00A7252F" w:rsidP="00A7252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Розрахувати величину викидів шкідливих речовин в атмосферу складами мінеральних добрив. Проаналізувати основні способи зменшення негативної дії мінеральних добрив з погляду їхньої екологічної безпеки.</w:t>
      </w:r>
    </w:p>
    <w:p w:rsidR="00A7252F" w:rsidRPr="00F20E34" w:rsidRDefault="00A7252F" w:rsidP="00A7252F">
      <w:pPr>
        <w:spacing w:after="0" w:line="240" w:lineRule="auto"/>
        <w:ind w:left="20" w:firstLine="68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Роботу слід виконувати в такій послідовності:</w:t>
      </w:r>
    </w:p>
    <w:p w:rsidR="00A7252F" w:rsidRPr="00F20E34" w:rsidRDefault="00A7252F" w:rsidP="00A7252F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lastRenderedPageBreak/>
        <w:t>1. Розрахунок величини викидів шкідливих речовин в атмосферу від складів мінеральних добрив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:</w:t>
      </w:r>
    </w:p>
    <w:p w:rsidR="00A7252F" w:rsidRPr="00F20E34" w:rsidRDefault="00A7252F" w:rsidP="00A7252F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0E34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1.1.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Величина викиду в атмосферу пилу від складів мінеральних добрив за місяць буде становити:</w:t>
      </w:r>
    </w:p>
    <w:p w:rsidR="00A7252F" w:rsidRPr="00F20E34" w:rsidRDefault="00A7252F" w:rsidP="00A7252F">
      <w:pPr>
        <w:spacing w:after="0" w:line="240" w:lineRule="auto"/>
        <w:ind w:left="380" w:hanging="360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380" w:hanging="360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uk-UA"/>
        </w:rPr>
        <w:t>М</w:t>
      </w:r>
      <w:r w:rsidRPr="00F20E34">
        <w:rPr>
          <w:rFonts w:ascii="Times New Roman" w:eastAsia="Times New Roman" w:hAnsi="Times New Roman"/>
          <w:b/>
          <w:i/>
          <w:sz w:val="26"/>
          <w:szCs w:val="26"/>
          <w:vertAlign w:val="subscript"/>
          <w:lang w:val="uk-UA" w:eastAsia="uk-UA"/>
        </w:rPr>
        <w:t>рі</w:t>
      </w:r>
      <w:r w:rsidRPr="00F20E34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=</w:t>
      </w: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uk-UA"/>
        </w:rPr>
        <w:t>0,01*П</w:t>
      </w:r>
      <w:r w:rsidRPr="00F20E34">
        <w:rPr>
          <w:rFonts w:ascii="Times New Roman" w:eastAsia="Times New Roman" w:hAnsi="Times New Roman"/>
          <w:b/>
          <w:i/>
          <w:sz w:val="26"/>
          <w:szCs w:val="26"/>
          <w:vertAlign w:val="subscript"/>
          <w:lang w:val="uk-UA" w:eastAsia="uk-UA"/>
        </w:rPr>
        <w:t>і</w:t>
      </w: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uk-UA"/>
        </w:rPr>
        <w:t>*У</w:t>
      </w:r>
      <w:r w:rsidRPr="00F20E34">
        <w:rPr>
          <w:rFonts w:ascii="Times New Roman" w:eastAsia="Times New Roman" w:hAnsi="Times New Roman"/>
          <w:b/>
          <w:i/>
          <w:sz w:val="26"/>
          <w:szCs w:val="26"/>
          <w:vertAlign w:val="subscript"/>
          <w:lang w:val="uk-UA" w:eastAsia="uk-UA"/>
        </w:rPr>
        <w:t>і</w:t>
      </w: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uk-UA"/>
        </w:rPr>
        <w:t>*К / 12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, т/міс                (5)</w:t>
      </w:r>
    </w:p>
    <w:p w:rsidR="00A7252F" w:rsidRPr="00F20E34" w:rsidRDefault="00A7252F" w:rsidP="00A7252F">
      <w:pPr>
        <w:spacing w:after="0" w:line="240" w:lineRule="auto"/>
        <w:ind w:left="380" w:hanging="36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де М</w:t>
      </w:r>
      <w:r w:rsidRPr="00F20E34">
        <w:rPr>
          <w:rFonts w:ascii="Times New Roman" w:eastAsia="Times New Roman" w:hAnsi="Times New Roman"/>
          <w:sz w:val="26"/>
          <w:szCs w:val="26"/>
          <w:vertAlign w:val="subscript"/>
          <w:lang w:val="uk-UA" w:eastAsia="uk-UA"/>
        </w:rPr>
        <w:t>рі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- втрати добрив у вигляді пилу, т/міс; </w:t>
      </w:r>
    </w:p>
    <w:p w:rsidR="00A7252F" w:rsidRPr="00F20E34" w:rsidRDefault="00A7252F" w:rsidP="00A7252F">
      <w:pPr>
        <w:spacing w:after="0" w:line="240" w:lineRule="auto"/>
        <w:ind w:left="380" w:hanging="36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bCs/>
          <w:i/>
          <w:iCs/>
          <w:sz w:val="26"/>
          <w:szCs w:val="26"/>
          <w:lang w:val="uk-UA" w:eastAsia="uk-UA"/>
        </w:rPr>
        <w:t>П</w:t>
      </w:r>
      <w:r w:rsidRPr="00F20E34"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  <w:t>і</w:t>
      </w:r>
      <w:r w:rsidRPr="00F20E34">
        <w:rPr>
          <w:rFonts w:ascii="Times New Roman" w:eastAsia="Times New Roman" w:hAnsi="Times New Roman"/>
          <w:i/>
          <w:sz w:val="26"/>
          <w:szCs w:val="26"/>
          <w:lang w:val="uk-UA" w:eastAsia="uk-UA"/>
        </w:rPr>
        <w:t xml:space="preserve"> –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кількість мінеральних добрив, що зберігається на складі, т/рік (вихідні дані беруть з табл. 5.2);</w:t>
      </w:r>
    </w:p>
    <w:p w:rsidR="00A7252F" w:rsidRPr="00F20E34" w:rsidRDefault="00A7252F" w:rsidP="00A7252F">
      <w:pPr>
        <w:spacing w:after="0" w:line="240" w:lineRule="auto"/>
        <w:ind w:left="380" w:hanging="36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  <w:t>К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– коефіцієнт розвіювання гранульованих мінеральних добрив (вихідні дані беруть з табл. 5.1);</w:t>
      </w:r>
    </w:p>
    <w:p w:rsidR="00A7252F" w:rsidRPr="00F20E34" w:rsidRDefault="00A7252F" w:rsidP="00A7252F">
      <w:pPr>
        <w:spacing w:after="0" w:line="240" w:lineRule="auto"/>
        <w:ind w:left="380" w:hanging="36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i/>
          <w:sz w:val="26"/>
          <w:szCs w:val="26"/>
          <w:lang w:val="uk-UA" w:eastAsia="uk-UA"/>
        </w:rPr>
        <w:t>Уі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- коефіцієнт збитку, % (вихідні дані беруть з табл. 5.1).</w:t>
      </w:r>
    </w:p>
    <w:p w:rsidR="00A7252F" w:rsidRPr="00F20E34" w:rsidRDefault="00A7252F" w:rsidP="00A7252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  <w:t xml:space="preserve">                                                             Таблиця 5.1</w:t>
      </w:r>
    </w:p>
    <w:p w:rsidR="00A7252F" w:rsidRPr="00F20E34" w:rsidRDefault="00A7252F" w:rsidP="00A7252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b/>
          <w:iCs/>
          <w:sz w:val="26"/>
          <w:szCs w:val="26"/>
          <w:lang w:val="uk-UA" w:eastAsia="uk-UA"/>
        </w:rPr>
        <w:t>Норми збитку під час застосування мінеральних добрив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56"/>
        <w:gridCol w:w="4394"/>
        <w:gridCol w:w="2410"/>
        <w:gridCol w:w="2835"/>
      </w:tblGrid>
      <w:tr w:rsidR="00A7252F" w:rsidRPr="00F20E34" w:rsidTr="00CD4290">
        <w:trPr>
          <w:trHeight w:val="24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52F" w:rsidRPr="00F20E34" w:rsidRDefault="00A7252F" w:rsidP="00CD4290">
            <w:pPr>
              <w:spacing w:after="0" w:line="240" w:lineRule="auto"/>
              <w:ind w:left="62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Мінеральні добрива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Норми збитку за рік</w:t>
            </w:r>
          </w:p>
        </w:tc>
      </w:tr>
      <w:tr w:rsidR="00A7252F" w:rsidRPr="00F20E34" w:rsidTr="00CD4290">
        <w:trPr>
          <w:trHeight w:val="19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У</w:t>
            </w:r>
            <w:r w:rsidRPr="00F20E34">
              <w:rPr>
                <w:rFonts w:ascii="Times New Roman" w:eastAsia="Times New Roman" w:hAnsi="Times New Roman"/>
                <w:b/>
                <w:sz w:val="26"/>
                <w:szCs w:val="26"/>
                <w:vertAlign w:val="subscript"/>
                <w:lang w:val="uk-UA" w:eastAsia="uk-UA"/>
              </w:rPr>
              <w:t>і</w:t>
            </w:r>
            <w:r w:rsidRPr="00F20E34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</w:t>
            </w:r>
          </w:p>
        </w:tc>
      </w:tr>
      <w:tr w:rsidR="00A7252F" w:rsidRPr="00F20E34" w:rsidTr="00CD4290">
        <w:trPr>
          <w:trHeight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Нітрофос гранульований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0,1</w:t>
            </w:r>
          </w:p>
        </w:tc>
      </w:tr>
      <w:tr w:rsidR="00A7252F" w:rsidRPr="00F20E34" w:rsidTr="00CD4290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Суперфосфат порошкоподібний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A7252F" w:rsidRPr="00F20E34" w:rsidTr="00CD4290">
        <w:trPr>
          <w:trHeight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Суперфосфат гранульований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0,2</w:t>
            </w:r>
          </w:p>
        </w:tc>
      </w:tr>
      <w:tr w:rsidR="00A7252F" w:rsidRPr="00F20E34" w:rsidTr="00CD4290">
        <w:trPr>
          <w:trHeight w:val="2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Фосфоритне борошно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A7252F" w:rsidRPr="00F20E34" w:rsidTr="00CD4290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Хлористий калій гранульований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0,1</w:t>
            </w:r>
          </w:p>
        </w:tc>
      </w:tr>
      <w:tr w:rsidR="00A7252F" w:rsidRPr="00F20E34" w:rsidTr="00CD4290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Калійна сіль гранульована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0,1</w:t>
            </w:r>
          </w:p>
        </w:tc>
      </w:tr>
      <w:tr w:rsidR="00A7252F" w:rsidRPr="00F20E34" w:rsidTr="00CD4290">
        <w:trPr>
          <w:trHeight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Калімагнезія гранульована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0,1</w:t>
            </w:r>
          </w:p>
        </w:tc>
      </w:tr>
      <w:tr w:rsidR="00A7252F" w:rsidRPr="00F20E34" w:rsidTr="00CD4290">
        <w:trPr>
          <w:trHeight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Амофос гранульований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0,1</w:t>
            </w:r>
          </w:p>
        </w:tc>
      </w:tr>
      <w:tr w:rsidR="00A7252F" w:rsidRPr="00F20E34" w:rsidTr="00CD4290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Діамоній фосфору гранульований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0,1</w:t>
            </w:r>
          </w:p>
        </w:tc>
      </w:tr>
      <w:tr w:rsidR="00A7252F" w:rsidRPr="00F20E34" w:rsidTr="00CD4290">
        <w:trPr>
          <w:trHeight w:val="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Вапно порошкоподібне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</w:tr>
    </w:tbl>
    <w:p w:rsidR="00A7252F" w:rsidRPr="00F20E34" w:rsidRDefault="00A7252F" w:rsidP="00A7252F">
      <w:pPr>
        <w:spacing w:after="0" w:line="240" w:lineRule="auto"/>
        <w:ind w:left="20" w:firstLine="688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20" w:firstLine="688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Величина викидів в атмосферу пилу від складів мінеральних добрив за рік розраховується за формулою:</w:t>
      </w:r>
    </w:p>
    <w:p w:rsidR="00A7252F" w:rsidRPr="00F20E34" w:rsidRDefault="00A7252F" w:rsidP="00A7252F">
      <w:pPr>
        <w:spacing w:after="0" w:line="240" w:lineRule="auto"/>
        <w:ind w:left="20" w:firstLine="688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M</w:t>
      </w:r>
      <w:r w:rsidRPr="00F20E34">
        <w:rPr>
          <w:rFonts w:ascii="Times New Roman" w:eastAsia="Times New Roman" w:hAnsi="Times New Roman"/>
          <w:b/>
          <w:i/>
          <w:sz w:val="26"/>
          <w:szCs w:val="26"/>
          <w:vertAlign w:val="subscript"/>
          <w:lang w:val="uk-UA" w:eastAsia="ru-RU"/>
        </w:rPr>
        <w:t>pt</w:t>
      </w: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uk-UA"/>
        </w:rPr>
        <w:t>=0,01*П</w:t>
      </w:r>
      <w:r w:rsidRPr="00F20E34">
        <w:rPr>
          <w:rFonts w:ascii="Times New Roman" w:eastAsia="Times New Roman" w:hAnsi="Times New Roman"/>
          <w:b/>
          <w:i/>
          <w:sz w:val="26"/>
          <w:szCs w:val="26"/>
          <w:vertAlign w:val="subscript"/>
          <w:lang w:val="uk-UA" w:eastAsia="uk-UA"/>
        </w:rPr>
        <w:t>і</w:t>
      </w: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uk-UA"/>
        </w:rPr>
        <w:t>*У</w:t>
      </w:r>
      <w:r w:rsidRPr="00F20E34">
        <w:rPr>
          <w:rFonts w:ascii="Times New Roman" w:eastAsia="Times New Roman" w:hAnsi="Times New Roman"/>
          <w:b/>
          <w:i/>
          <w:sz w:val="26"/>
          <w:szCs w:val="26"/>
          <w:vertAlign w:val="subscript"/>
          <w:lang w:val="uk-UA" w:eastAsia="uk-UA"/>
        </w:rPr>
        <w:t>і</w:t>
      </w:r>
      <w:r w:rsidRPr="00F20E34">
        <w:rPr>
          <w:rFonts w:ascii="Times New Roman" w:eastAsia="Times New Roman" w:hAnsi="Times New Roman"/>
          <w:b/>
          <w:i/>
          <w:sz w:val="26"/>
          <w:szCs w:val="26"/>
          <w:lang w:val="uk-UA" w:eastAsia="uk-UA"/>
        </w:rPr>
        <w:t>*К</w:t>
      </w:r>
      <w:r w:rsidRPr="00F20E34">
        <w:rPr>
          <w:rFonts w:ascii="Times New Roman" w:eastAsia="Times New Roman" w:hAnsi="Times New Roman"/>
          <w:i/>
          <w:iCs/>
          <w:spacing w:val="40"/>
          <w:sz w:val="26"/>
          <w:szCs w:val="26"/>
          <w:lang w:val="uk-UA" w:eastAsia="uk-UA"/>
        </w:rPr>
        <w:t>,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т/рік                    (6)</w:t>
      </w:r>
    </w:p>
    <w:p w:rsidR="00A7252F" w:rsidRPr="00F20E34" w:rsidRDefault="00A7252F" w:rsidP="00A7252F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A7252F" w:rsidRPr="00F20E34" w:rsidRDefault="00A7252F" w:rsidP="00A7252F">
      <w:pPr>
        <w:tabs>
          <w:tab w:val="left" w:pos="84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1.2.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Розрахунок величини викидів парів аміаку в повітря у процесі зберігання аміачної води проводиться за формулою</w:t>
      </w:r>
    </w:p>
    <w:p w:rsidR="00A7252F" w:rsidRPr="00F20E34" w:rsidRDefault="00A7252F" w:rsidP="00A7252F">
      <w:pPr>
        <w:spacing w:after="0" w:line="240" w:lineRule="auto"/>
        <w:ind w:left="2340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b/>
          <w:bCs/>
          <w:i/>
          <w:iCs/>
          <w:spacing w:val="20"/>
          <w:sz w:val="26"/>
          <w:szCs w:val="26"/>
          <w:lang w:val="uk-UA" w:eastAsia="uk-UA"/>
        </w:rPr>
        <w:t>M</w:t>
      </w:r>
      <w:r w:rsidRPr="00F20E34">
        <w:rPr>
          <w:rFonts w:ascii="Times New Roman" w:eastAsia="Times New Roman" w:hAnsi="Times New Roman"/>
          <w:b/>
          <w:bCs/>
          <w:i/>
          <w:iCs/>
          <w:spacing w:val="20"/>
          <w:sz w:val="26"/>
          <w:szCs w:val="26"/>
          <w:vertAlign w:val="subscript"/>
          <w:lang w:val="uk-UA" w:eastAsia="uk-UA"/>
        </w:rPr>
        <w:t>na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= (0,01</w:t>
      </w:r>
      <w:r w:rsidRPr="00F20E34">
        <w:rPr>
          <w:rFonts w:ascii="Times New Roman" w:eastAsia="Times New Roman" w:hAnsi="Times New Roman"/>
          <w:b/>
          <w:bCs/>
          <w:i/>
          <w:iCs/>
          <w:spacing w:val="20"/>
          <w:sz w:val="26"/>
          <w:szCs w:val="26"/>
          <w:lang w:val="uk-UA" w:eastAsia="uk-UA"/>
        </w:rPr>
        <w:t xml:space="preserve"> *К* К</w:t>
      </w:r>
      <w:r w:rsidRPr="00F20E34">
        <w:rPr>
          <w:rFonts w:ascii="Times New Roman" w:eastAsia="Times New Roman" w:hAnsi="Times New Roman"/>
          <w:sz w:val="26"/>
          <w:szCs w:val="26"/>
          <w:vertAlign w:val="subscript"/>
          <w:lang w:val="uk-UA" w:eastAsia="uk-UA"/>
        </w:rPr>
        <w:t>а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>) / 12, т/міс                     (7)</w:t>
      </w:r>
    </w:p>
    <w:p w:rsidR="00A7252F" w:rsidRPr="00F20E34" w:rsidRDefault="00A7252F" w:rsidP="00A7252F">
      <w:pPr>
        <w:spacing w:after="0" w:line="240" w:lineRule="auto"/>
        <w:ind w:left="234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A7252F" w:rsidRPr="00F20E34" w:rsidRDefault="00A7252F" w:rsidP="00A72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де </w:t>
      </w:r>
      <w:r w:rsidRPr="00F20E34">
        <w:rPr>
          <w:rFonts w:ascii="Times New Roman" w:eastAsia="Times New Roman" w:hAnsi="Times New Roman"/>
          <w:bCs/>
          <w:i/>
          <w:iCs/>
          <w:spacing w:val="20"/>
          <w:sz w:val="26"/>
          <w:szCs w:val="26"/>
          <w:lang w:val="uk-UA" w:eastAsia="uk-UA"/>
        </w:rPr>
        <w:t>M</w:t>
      </w:r>
      <w:r w:rsidRPr="00F20E34">
        <w:rPr>
          <w:rFonts w:ascii="Times New Roman" w:eastAsia="Times New Roman" w:hAnsi="Times New Roman"/>
          <w:bCs/>
          <w:i/>
          <w:iCs/>
          <w:spacing w:val="20"/>
          <w:sz w:val="26"/>
          <w:szCs w:val="26"/>
          <w:vertAlign w:val="subscript"/>
          <w:lang w:val="uk-UA" w:eastAsia="uk-UA"/>
        </w:rPr>
        <w:t>na</w:t>
      </w:r>
      <w:r w:rsidRPr="00F20E34">
        <w:rPr>
          <w:rFonts w:ascii="Times New Roman" w:eastAsia="Times New Roman" w:hAnsi="Times New Roman"/>
          <w:i/>
          <w:iCs/>
          <w:spacing w:val="-20"/>
          <w:sz w:val="26"/>
          <w:szCs w:val="26"/>
          <w:lang w:val="uk-UA" w:eastAsia="uk-UA"/>
        </w:rPr>
        <w:t xml:space="preserve"> -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маса аміачної води, що зберігається у ємностях за рік, тонн (вихідні дані беруть з табл. 1); </w:t>
      </w:r>
    </w:p>
    <w:p w:rsidR="00A7252F" w:rsidRPr="00F20E34" w:rsidRDefault="00A7252F" w:rsidP="00A72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i/>
          <w:sz w:val="26"/>
          <w:szCs w:val="26"/>
          <w:lang w:val="uk-UA" w:eastAsia="uk-UA"/>
        </w:rPr>
        <w:t>К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– норматив збитку під час зберігання – 0,15 %; </w:t>
      </w:r>
    </w:p>
    <w:p w:rsidR="00A7252F" w:rsidRPr="00F20E34" w:rsidRDefault="00A7252F" w:rsidP="00A72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  <w:t>К</w:t>
      </w:r>
      <w:r w:rsidRPr="00F20E34">
        <w:rPr>
          <w:rFonts w:ascii="Times New Roman" w:eastAsia="Times New Roman" w:hAnsi="Times New Roman"/>
          <w:i/>
          <w:iCs/>
          <w:sz w:val="26"/>
          <w:szCs w:val="26"/>
          <w:vertAlign w:val="subscript"/>
          <w:lang w:val="uk-UA" w:eastAsia="uk-UA"/>
        </w:rPr>
        <w:t>а</w:t>
      </w:r>
      <w:r w:rsidRPr="00F20E3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– коефіцієнт випаровування аміаку (вихідні дані беруть з табл. 5.2).</w:t>
      </w:r>
    </w:p>
    <w:p w:rsidR="00A7252F" w:rsidRPr="00F20E34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ind w:left="720"/>
        <w:jc w:val="right"/>
        <w:rPr>
          <w:rFonts w:ascii="Times New Roman" w:eastAsia="Times New Roman" w:hAnsi="Times New Roman"/>
          <w:i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i/>
          <w:sz w:val="26"/>
          <w:szCs w:val="26"/>
          <w:lang w:val="uk-UA" w:eastAsia="uk-UA"/>
        </w:rPr>
        <w:lastRenderedPageBreak/>
        <w:t>Таблиця 5.2</w:t>
      </w:r>
    </w:p>
    <w:p w:rsidR="00A7252F" w:rsidRPr="00F20E34" w:rsidRDefault="00A7252F" w:rsidP="00A7252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F20E34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Вихідні дані для розрахунку величини викидів в атмосферу пилу від складів мінеральних добрив</w:t>
      </w:r>
    </w:p>
    <w:tbl>
      <w:tblPr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81"/>
        <w:gridCol w:w="1276"/>
        <w:gridCol w:w="1276"/>
        <w:gridCol w:w="1134"/>
        <w:gridCol w:w="1275"/>
        <w:gridCol w:w="1134"/>
        <w:gridCol w:w="993"/>
        <w:gridCol w:w="141"/>
        <w:gridCol w:w="1276"/>
      </w:tblGrid>
      <w:tr w:rsidR="00A7252F" w:rsidRPr="00F20E34" w:rsidTr="00CD4290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Нітрофос</w:t>
            </w:r>
          </w:p>
          <w:p w:rsidR="00A7252F" w:rsidRPr="00F20E34" w:rsidRDefault="00A7252F" w:rsidP="00CD42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Супер</w:t>
            </w: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softHyphen/>
              <w:t>фосфат пор.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Супер</w:t>
            </w: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softHyphen/>
              <w:t>фосфат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Калійна</w:t>
            </w:r>
          </w:p>
          <w:p w:rsidR="00A7252F" w:rsidRPr="00F20E34" w:rsidRDefault="00A7252F" w:rsidP="00CD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сіль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Амофос</w:t>
            </w:r>
          </w:p>
          <w:p w:rsidR="00A7252F" w:rsidRPr="00F20E34" w:rsidRDefault="00A7252F" w:rsidP="00CD4290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Вапно</w:t>
            </w:r>
          </w:p>
          <w:p w:rsidR="00A7252F" w:rsidRPr="00F20E34" w:rsidRDefault="00A7252F" w:rsidP="00CD429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Фосф.</w:t>
            </w:r>
          </w:p>
          <w:p w:rsidR="00A7252F" w:rsidRPr="00F20E34" w:rsidRDefault="00A7252F" w:rsidP="00CD4290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Аміачна</w:t>
            </w:r>
          </w:p>
          <w:p w:rsidR="00A7252F" w:rsidRPr="00F20E34" w:rsidRDefault="00A7252F" w:rsidP="00CD429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вода</w:t>
            </w:r>
          </w:p>
        </w:tc>
      </w:tr>
      <w:tr w:rsidR="00A7252F" w:rsidRPr="00F20E34" w:rsidTr="00CD4290">
        <w:trPr>
          <w:trHeight w:val="235"/>
        </w:trPr>
        <w:tc>
          <w:tcPr>
            <w:tcW w:w="10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600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                            Кількість добрив, т</w:t>
            </w:r>
          </w:p>
        </w:tc>
      </w:tr>
      <w:tr w:rsidR="00A7252F" w:rsidRPr="00F20E34" w:rsidTr="00CD42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70/0,45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50/0,40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80/0,39</w:t>
            </w:r>
          </w:p>
        </w:tc>
      </w:tr>
      <w:tr w:rsidR="00A7252F" w:rsidRPr="00F20E34" w:rsidTr="00CD429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40/0,41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80/0,42</w:t>
            </w:r>
          </w:p>
        </w:tc>
      </w:tr>
      <w:tr w:rsidR="00A7252F" w:rsidRPr="00F20E34" w:rsidTr="00CD42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60/0,38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50/0,43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30/0,44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80/0,45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80/0,46</w:t>
            </w:r>
          </w:p>
        </w:tc>
      </w:tr>
      <w:tr w:rsidR="00A7252F" w:rsidRPr="00F20E34" w:rsidTr="00CD42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60/0,47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50/0,48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80/0,49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40/0.50</w:t>
            </w:r>
          </w:p>
        </w:tc>
      </w:tr>
      <w:tr w:rsidR="00A7252F" w:rsidRPr="00F20E34" w:rsidTr="00CD42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70/0,39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60/0,40</w:t>
            </w:r>
          </w:p>
        </w:tc>
      </w:tr>
      <w:tr w:rsidR="00A7252F" w:rsidRPr="00F20E34" w:rsidTr="00CD42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70/0,41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40/0,42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80/0,43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60/0,44</w:t>
            </w:r>
          </w:p>
        </w:tc>
      </w:tr>
      <w:tr w:rsidR="00A7252F" w:rsidRPr="00F20E34" w:rsidTr="00CD42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40/0,45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60/0,46</w:t>
            </w:r>
          </w:p>
        </w:tc>
      </w:tr>
      <w:tr w:rsidR="00A7252F" w:rsidRPr="00F20E34" w:rsidTr="00CD429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80/0,47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70/0,48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40/0,49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50/0,50</w:t>
            </w:r>
          </w:p>
        </w:tc>
      </w:tr>
      <w:tr w:rsidR="00A7252F" w:rsidRPr="00F20E34" w:rsidTr="00CD42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80/0,34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40/0,42</w:t>
            </w:r>
          </w:p>
        </w:tc>
      </w:tr>
      <w:tr w:rsidR="00A7252F" w:rsidRPr="00F20E34" w:rsidTr="00CD429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60/0,46</w:t>
            </w:r>
          </w:p>
        </w:tc>
      </w:tr>
      <w:tr w:rsidR="00A7252F" w:rsidRPr="00F20E34" w:rsidTr="00CD429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52F" w:rsidRPr="00F20E34" w:rsidRDefault="00A7252F" w:rsidP="00CD4290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20E3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70/0,50</w:t>
            </w:r>
          </w:p>
        </w:tc>
      </w:tr>
    </w:tbl>
    <w:p w:rsidR="00A7252F" w:rsidRPr="00F20E34" w:rsidRDefault="00A7252F" w:rsidP="00A7252F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</w:p>
    <w:p w:rsidR="00A7252F" w:rsidRPr="00F20E34" w:rsidRDefault="00A7252F" w:rsidP="00A7252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Завдання згідно порядкового номера в журналі</w:t>
      </w:r>
    </w:p>
    <w:p w:rsidR="00A7252F" w:rsidRPr="00F20E34" w:rsidRDefault="00A7252F" w:rsidP="00A7252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</w:p>
    <w:p w:rsidR="00A7252F" w:rsidRDefault="00A7252F" w:rsidP="00A7252F"/>
    <w:p w:rsidR="009E68A5" w:rsidRDefault="009E68A5"/>
    <w:sectPr w:rsidR="009E68A5" w:rsidSect="00780E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F"/>
    <w:rsid w:val="001C7A0B"/>
    <w:rsid w:val="009E68A5"/>
    <w:rsid w:val="00A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2018-03-05T07:15:00Z</dcterms:created>
  <dcterms:modified xsi:type="dcterms:W3CDTF">2018-03-05T07:15:00Z</dcterms:modified>
</cp:coreProperties>
</file>